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CF" w:rsidRDefault="00F34A29">
      <w:pPr>
        <w:spacing w:line="1000" w:lineRule="exact"/>
        <w:jc w:val="distribute"/>
        <w:rPr>
          <w:rFonts w:ascii="方正小标宋简体" w:eastAsia="方正小标宋简体"/>
          <w:color w:val="FF0000"/>
          <w:w w:val="93"/>
          <w:sz w:val="76"/>
          <w:szCs w:val="76"/>
        </w:rPr>
      </w:pPr>
      <w:r>
        <w:rPr>
          <w:rFonts w:ascii="方正小标宋简体" w:eastAsia="方正小标宋简体" w:hint="eastAsia"/>
          <w:color w:val="FF0000"/>
          <w:w w:val="93"/>
          <w:sz w:val="76"/>
          <w:szCs w:val="76"/>
        </w:rPr>
        <w:t>嘉兴市综合行政执法局</w:t>
      </w:r>
    </w:p>
    <w:p w:rsidR="008D5DCF" w:rsidRDefault="00F34A29">
      <w:pPr>
        <w:spacing w:line="560" w:lineRule="exact"/>
        <w:rPr>
          <w:rFonts w:ascii="仿宋" w:eastAsia="仿宋" w:hAnsi="仿宋"/>
          <w:w w:val="93"/>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146050</wp:posOffset>
                </wp:positionV>
                <wp:extent cx="5579745" cy="0"/>
                <wp:effectExtent l="0" t="19050" r="1905" b="19050"/>
                <wp:wrapNone/>
                <wp:docPr id="1" name="直接连接符 1"/>
                <wp:cNvGraphicFramePr/>
                <a:graphic xmlns:a="http://schemas.openxmlformats.org/drawingml/2006/main">
                  <a:graphicData uri="http://schemas.microsoft.com/office/word/2010/wordprocessingShape">
                    <wps:wsp>
                      <wps:cNvCnPr/>
                      <wps:spPr>
                        <a:xfrm flipV="1">
                          <a:off x="0" y="0"/>
                          <a:ext cx="5579745" cy="0"/>
                        </a:xfrm>
                        <a:prstGeom prst="line">
                          <a:avLst/>
                        </a:prstGeom>
                        <a:noFill/>
                        <a:ln w="38100" cap="flat" cmpd="sng" algn="ctr">
                          <a:solidFill>
                            <a:srgbClr val="FF0000"/>
                          </a:solidFill>
                          <a:prstDash val="soli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95pt;margin-top:11.5pt;height:0pt;width:439.35pt;z-index:251659264;mso-width-relative:page;mso-height-relative:page;" filled="f" stroked="t" coordsize="21600,21600" o:gfxdata="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vdPl1wAAAAcBAAAPAAAAAAAAAAEAIAAAACIAAABkcnMv&#10;ZG93bnJldi54bWxQSwECFAAUAAAACACHTuJAkD3O18sBAABlAwAADgAAAAAAAAABACAAAAAmAQAA&#10;ZHJzL2Uyb0RvYy54bWxQSwUGAAAAAAYABgBZAQAAYwUAAAAA&#10;">
                <v:fill on="f" focussize="0,0"/>
                <v:stroke weight="3pt" color="#FF0000" joinstyle="round"/>
                <v:imagedata o:title=""/>
                <o:lock v:ext="edit" aspectratio="f"/>
              </v:line>
            </w:pict>
          </mc:Fallback>
        </mc:AlternateContent>
      </w:r>
      <w:r>
        <w:rPr>
          <w:rFonts w:ascii="仿宋" w:eastAsia="仿宋" w:hAnsi="仿宋" w:hint="eastAsia"/>
          <w:w w:val="93"/>
          <w:sz w:val="32"/>
          <w:szCs w:val="32"/>
        </w:rPr>
        <w:t xml:space="preserve"> </w:t>
      </w:r>
    </w:p>
    <w:p w:rsidR="008D5DCF" w:rsidRDefault="008D5DCF">
      <w:pPr>
        <w:spacing w:line="580" w:lineRule="exact"/>
        <w:rPr>
          <w:b/>
          <w:sz w:val="44"/>
          <w:szCs w:val="44"/>
        </w:rPr>
      </w:pPr>
    </w:p>
    <w:p w:rsidR="008D5DCF" w:rsidRDefault="00F34A29">
      <w:pPr>
        <w:spacing w:line="580" w:lineRule="exact"/>
        <w:jc w:val="center"/>
        <w:rPr>
          <w:b/>
          <w:sz w:val="44"/>
          <w:szCs w:val="44"/>
        </w:rPr>
      </w:pPr>
      <w:r>
        <w:rPr>
          <w:rFonts w:hint="eastAsia"/>
          <w:b/>
          <w:sz w:val="44"/>
          <w:szCs w:val="44"/>
        </w:rPr>
        <w:t>嘉兴市综合行政执法系统关于开展</w:t>
      </w:r>
    </w:p>
    <w:p w:rsidR="008D5DCF" w:rsidRDefault="00F34A29">
      <w:pPr>
        <w:spacing w:line="580" w:lineRule="exact"/>
        <w:jc w:val="center"/>
        <w:rPr>
          <w:b/>
          <w:sz w:val="44"/>
          <w:szCs w:val="44"/>
        </w:rPr>
      </w:pPr>
      <w:r>
        <w:rPr>
          <w:rFonts w:hint="eastAsia"/>
          <w:b/>
          <w:sz w:val="44"/>
          <w:szCs w:val="44"/>
        </w:rPr>
        <w:t>餐饮业油烟污染专项执法行动的通知</w:t>
      </w:r>
    </w:p>
    <w:p w:rsidR="008D5DCF" w:rsidRDefault="008D5DCF">
      <w:pPr>
        <w:rPr>
          <w:rFonts w:ascii="仿宋_GB2312" w:eastAsia="仿宋_GB2312" w:hAnsi="仿宋_GB2312" w:cs="仿宋_GB2312"/>
          <w:sz w:val="32"/>
          <w:szCs w:val="32"/>
        </w:rPr>
      </w:pPr>
    </w:p>
    <w:p w:rsidR="008D5DCF" w:rsidRDefault="00F34A29">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pacing w:val="-12"/>
          <w:sz w:val="32"/>
          <w:szCs w:val="32"/>
        </w:rPr>
        <w:t>各县（市、区）综合行政执法（分）局，市局各处（室、队、中心）：</w:t>
      </w:r>
    </w:p>
    <w:p w:rsidR="008D5DCF" w:rsidRDefault="00F34A2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嘉兴市餐饮业油烟管理办法》，全面加强全市餐饮业油烟污染执法工作，有效改善城市环境空气质量，切实维护人民群众切身利益。根据年度工作计划和实际工作需要，决定开展餐饮业油烟污染专项执法行动。现将有关事项通知如下：</w:t>
      </w:r>
    </w:p>
    <w:p w:rsidR="008D5DCF" w:rsidRDefault="00F34A29">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一、工作目标</w:t>
      </w:r>
    </w:p>
    <w:p w:rsidR="008D5DCF" w:rsidRDefault="00F34A29">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以《嘉兴市餐饮业油烟管理办法》颁布施行为契机，通过开展专项行动，</w:t>
      </w:r>
      <w:r>
        <w:rPr>
          <w:rFonts w:ascii="仿宋_GB2312" w:eastAsia="仿宋_GB2312" w:hAnsi="仿宋_GB2312" w:cs="仿宋_GB2312" w:hint="eastAsia"/>
          <w:sz w:val="32"/>
          <w:szCs w:val="32"/>
        </w:rPr>
        <w:t>加强全市餐饮业油烟污染的执法检查力度，对油烟超标排放的</w:t>
      </w:r>
      <w:r>
        <w:rPr>
          <w:rFonts w:ascii="仿宋_GB2312" w:eastAsia="仿宋_GB2312" w:hint="eastAsia"/>
          <w:sz w:val="32"/>
          <w:szCs w:val="32"/>
        </w:rPr>
        <w:t>餐饮</w:t>
      </w:r>
      <w:r>
        <w:rPr>
          <w:rFonts w:ascii="仿宋_GB2312" w:eastAsia="仿宋_GB2312" w:hAnsi="仿宋_GB2312" w:cs="仿宋_GB2312" w:hint="eastAsia"/>
          <w:sz w:val="32"/>
          <w:szCs w:val="32"/>
        </w:rPr>
        <w:t>经营</w:t>
      </w:r>
      <w:r>
        <w:rPr>
          <w:rFonts w:ascii="仿宋_GB2312" w:eastAsia="仿宋_GB2312" w:hint="eastAsia"/>
          <w:sz w:val="32"/>
          <w:szCs w:val="32"/>
        </w:rPr>
        <w:t>单位</w:t>
      </w:r>
      <w:r>
        <w:rPr>
          <w:rFonts w:ascii="仿宋_GB2312" w:eastAsia="仿宋_GB2312" w:hAnsi="仿宋_GB2312" w:cs="仿宋_GB2312" w:hint="eastAsia"/>
          <w:sz w:val="32"/>
          <w:szCs w:val="32"/>
        </w:rPr>
        <w:t>、群众反映强烈的问题</w:t>
      </w:r>
      <w:r>
        <w:rPr>
          <w:rFonts w:ascii="仿宋_GB2312" w:eastAsia="仿宋_GB2312" w:hint="eastAsia"/>
          <w:sz w:val="32"/>
          <w:szCs w:val="32"/>
        </w:rPr>
        <w:t>餐饮</w:t>
      </w:r>
      <w:r>
        <w:rPr>
          <w:rFonts w:ascii="仿宋_GB2312" w:eastAsia="仿宋_GB2312" w:hAnsi="仿宋_GB2312" w:cs="仿宋_GB2312" w:hint="eastAsia"/>
          <w:sz w:val="32"/>
          <w:szCs w:val="32"/>
        </w:rPr>
        <w:t>经营</w:t>
      </w:r>
      <w:r>
        <w:rPr>
          <w:rFonts w:ascii="仿宋_GB2312" w:eastAsia="仿宋_GB2312" w:hint="eastAsia"/>
          <w:sz w:val="32"/>
          <w:szCs w:val="32"/>
        </w:rPr>
        <w:t>单位</w:t>
      </w:r>
      <w:r>
        <w:rPr>
          <w:rFonts w:ascii="仿宋_GB2312" w:eastAsia="仿宋_GB2312" w:hAnsi="仿宋_GB2312" w:cs="仿宋_GB2312" w:hint="eastAsia"/>
          <w:sz w:val="32"/>
          <w:szCs w:val="32"/>
        </w:rPr>
        <w:t>进行集中整治，重点整治一批长期得不到解决的油烟扰民问题。通过有力的执法处罚和热情的指导服务，实现群众投诉举报处置满意率明显提升、部门协作配合意识明显增强、队伍执法办案能力明显提高。</w:t>
      </w:r>
    </w:p>
    <w:p w:rsidR="008D5DCF" w:rsidRDefault="00F34A29">
      <w:pPr>
        <w:spacing w:line="580" w:lineRule="exact"/>
        <w:ind w:firstLine="645"/>
        <w:rPr>
          <w:rFonts w:ascii="黑体" w:eastAsia="黑体"/>
          <w:sz w:val="32"/>
          <w:szCs w:val="32"/>
        </w:rPr>
      </w:pPr>
      <w:r>
        <w:rPr>
          <w:rFonts w:ascii="黑体" w:eastAsia="黑体" w:hint="eastAsia"/>
          <w:sz w:val="32"/>
          <w:szCs w:val="32"/>
        </w:rPr>
        <w:t>二、工作内容</w:t>
      </w:r>
      <w:r>
        <w:rPr>
          <w:rFonts w:ascii="楷体_GB2312" w:eastAsia="楷体_GB2312"/>
          <w:b/>
          <w:sz w:val="32"/>
          <w:szCs w:val="32"/>
        </w:rPr>
        <w:t xml:space="preserve">  </w:t>
      </w:r>
    </w:p>
    <w:p w:rsidR="008D5DCF" w:rsidRDefault="00F34A29">
      <w:pPr>
        <w:spacing w:line="580" w:lineRule="exact"/>
        <w:ind w:firstLineChars="200" w:firstLine="643"/>
        <w:jc w:val="left"/>
        <w:rPr>
          <w:rFonts w:ascii="仿宋" w:eastAsia="仿宋" w:hAnsi="仿宋"/>
          <w:sz w:val="32"/>
          <w:szCs w:val="32"/>
        </w:rPr>
      </w:pPr>
      <w:r>
        <w:rPr>
          <w:rFonts w:ascii="楷体_GB2312" w:eastAsia="楷体_GB2312" w:hAnsi="楷体_GB2312" w:cs="楷体_GB2312" w:hint="eastAsia"/>
          <w:b/>
          <w:bCs/>
          <w:sz w:val="32"/>
          <w:szCs w:val="32"/>
        </w:rPr>
        <w:t>（一）执法检查对象</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全市范围内所有产生油烟的餐饮经营单位，即宾馆、酒楼、餐厅、单位食堂、烧烤经营户及产生油烟</w:t>
      </w:r>
      <w:r>
        <w:rPr>
          <w:rFonts w:ascii="仿宋_GB2312" w:eastAsia="仿宋_GB2312" w:hAnsi="仿宋_GB2312" w:cs="仿宋_GB2312" w:hint="eastAsia"/>
          <w:sz w:val="32"/>
          <w:szCs w:val="32"/>
        </w:rPr>
        <w:lastRenderedPageBreak/>
        <w:t>污染的食品加工企业、门店、作坊等。</w:t>
      </w:r>
    </w:p>
    <w:p w:rsidR="008D5DCF" w:rsidRDefault="00F34A29">
      <w:pPr>
        <w:spacing w:line="58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（二）执法检查方式及重点。</w:t>
      </w:r>
    </w:p>
    <w:p w:rsidR="008D5DCF" w:rsidRDefault="00F34A29">
      <w:pPr>
        <w:spacing w:line="58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1.执法检查方式。</w:t>
      </w:r>
      <w:r>
        <w:rPr>
          <w:rFonts w:ascii="仿宋_GB2312" w:eastAsia="仿宋_GB2312" w:hAnsi="仿宋_GB2312" w:cs="仿宋_GB2312" w:hint="eastAsia"/>
          <w:sz w:val="32"/>
          <w:szCs w:val="32"/>
        </w:rPr>
        <w:t>执法检查应根据“综合查一次”的要求，采取“双随机、双公开”的方式，</w:t>
      </w:r>
      <w:r>
        <w:rPr>
          <w:rFonts w:ascii="仿宋_GB2312" w:eastAsia="仿宋_GB2312" w:hint="eastAsia"/>
          <w:sz w:val="32"/>
          <w:szCs w:val="32"/>
        </w:rPr>
        <w:t>各县（市、区）局全年检查餐饮经营单位不少于入库经营</w:t>
      </w:r>
      <w:r>
        <w:rPr>
          <w:rFonts w:ascii="仿宋_GB2312" w:eastAsia="仿宋_GB2312" w:hAnsi="仿宋_GB2312" w:cs="仿宋_GB2312" w:hint="eastAsia"/>
          <w:sz w:val="32"/>
          <w:szCs w:val="32"/>
        </w:rPr>
        <w:t>单位</w:t>
      </w:r>
      <w:r>
        <w:rPr>
          <w:rFonts w:ascii="仿宋_GB2312" w:eastAsia="仿宋_GB2312" w:hint="eastAsia"/>
          <w:sz w:val="32"/>
          <w:szCs w:val="32"/>
        </w:rPr>
        <w:t>的5%，本轮检查对象不少于总数的3%。执法检查中要</w:t>
      </w:r>
      <w:r>
        <w:rPr>
          <w:rFonts w:ascii="仿宋_GB2312" w:eastAsia="仿宋_GB2312" w:hAnsi="仿宋_GB2312" w:cs="仿宋_GB2312" w:hint="eastAsia"/>
          <w:sz w:val="32"/>
          <w:szCs w:val="32"/>
        </w:rPr>
        <w:t>严格规范执法程序并对执法行为进行全过程记录，确保执法过程公开、公平、公正。对于检查</w:t>
      </w:r>
      <w:r>
        <w:rPr>
          <w:rFonts w:ascii="仿宋_GB2312" w:eastAsia="仿宋_GB2312" w:hint="eastAsia"/>
          <w:sz w:val="32"/>
          <w:szCs w:val="32"/>
        </w:rPr>
        <w:t>发现的问题属于综合行政执法处罚事项的，依法予以查处或处置；对于不属于综合行政执法处罚事项的，依法移送有管辖权的部门处理。</w:t>
      </w:r>
    </w:p>
    <w:p w:rsidR="008D5DCF" w:rsidRDefault="00F34A29">
      <w:pPr>
        <w:spacing w:line="580" w:lineRule="exact"/>
        <w:ind w:firstLineChars="200" w:firstLine="640"/>
        <w:jc w:val="left"/>
        <w:rPr>
          <w:rFonts w:ascii="仿宋_GB2312" w:eastAsia="仿宋_GB2312"/>
          <w:sz w:val="32"/>
          <w:szCs w:val="32"/>
        </w:rPr>
      </w:pPr>
      <w:r w:rsidRPr="00C0349A">
        <w:rPr>
          <w:rFonts w:ascii="楷体_GB2312" w:eastAsia="楷体_GB2312" w:hAnsi="楷体" w:cs="楷体" w:hint="eastAsia"/>
          <w:sz w:val="32"/>
          <w:szCs w:val="32"/>
        </w:rPr>
        <w:t>2.</w:t>
      </w:r>
      <w:r>
        <w:rPr>
          <w:rFonts w:ascii="楷体" w:eastAsia="楷体" w:hAnsi="楷体" w:cs="楷体" w:hint="eastAsia"/>
          <w:sz w:val="32"/>
          <w:szCs w:val="32"/>
        </w:rPr>
        <w:t>执法检查重点。</w:t>
      </w:r>
      <w:r>
        <w:rPr>
          <w:rFonts w:ascii="仿宋_GB2312" w:eastAsia="仿宋_GB2312" w:hAnsi="仿宋_GB2312" w:cs="仿宋_GB2312" w:hint="eastAsia"/>
          <w:b/>
          <w:bCs/>
          <w:kern w:val="0"/>
          <w:sz w:val="32"/>
          <w:szCs w:val="32"/>
        </w:rPr>
        <w:t>一是中央、省环保督察交办的涉餐饮油烟信访件</w:t>
      </w:r>
      <w:r>
        <w:rPr>
          <w:rFonts w:ascii="仿宋_GB2312" w:eastAsia="仿宋_GB2312" w:hAnsi="仿宋_GB2312" w:cs="仿宋_GB2312" w:hint="eastAsia"/>
          <w:b/>
          <w:bCs/>
          <w:sz w:val="32"/>
          <w:szCs w:val="32"/>
        </w:rPr>
        <w:t>。</w:t>
      </w:r>
      <w:r>
        <w:rPr>
          <w:rFonts w:ascii="仿宋_GB2312" w:eastAsia="仿宋_GB2312" w:hint="eastAsia"/>
          <w:sz w:val="32"/>
          <w:szCs w:val="32"/>
        </w:rPr>
        <w:t>各县（市、区）局要</w:t>
      </w:r>
      <w:r>
        <w:rPr>
          <w:rFonts w:ascii="仿宋_GB2312" w:eastAsia="仿宋_GB2312" w:hAnsi="仿宋_GB2312" w:cs="仿宋_GB2312" w:hint="eastAsia"/>
          <w:sz w:val="32"/>
          <w:szCs w:val="32"/>
        </w:rPr>
        <w:t>围绕中央和省级生态环保督察交办的涉餐饮油烟</w:t>
      </w:r>
      <w:proofErr w:type="gramStart"/>
      <w:r>
        <w:rPr>
          <w:rFonts w:ascii="仿宋_GB2312" w:eastAsia="仿宋_GB2312" w:hAnsi="仿宋_GB2312" w:cs="仿宋_GB2312" w:hint="eastAsia"/>
          <w:sz w:val="32"/>
          <w:szCs w:val="32"/>
        </w:rPr>
        <w:t>信访件所涉及</w:t>
      </w:r>
      <w:proofErr w:type="gramEnd"/>
      <w:r>
        <w:rPr>
          <w:rFonts w:ascii="仿宋_GB2312" w:eastAsia="仿宋_GB2312" w:hAnsi="仿宋_GB2312" w:cs="仿宋_GB2312" w:hint="eastAsia"/>
          <w:sz w:val="32"/>
          <w:szCs w:val="32"/>
        </w:rPr>
        <w:t>的餐饮店，执法检查全覆盖。</w:t>
      </w:r>
      <w:r>
        <w:rPr>
          <w:rFonts w:ascii="仿宋_GB2312" w:eastAsia="仿宋_GB2312" w:hAnsi="仿宋_GB2312" w:cs="仿宋_GB2312" w:hint="eastAsia"/>
          <w:b/>
          <w:bCs/>
          <w:kern w:val="0"/>
          <w:sz w:val="32"/>
          <w:szCs w:val="32"/>
        </w:rPr>
        <w:t>二是被</w:t>
      </w:r>
      <w:r>
        <w:rPr>
          <w:rFonts w:ascii="仿宋_GB2312" w:eastAsia="仿宋_GB2312" w:hAnsi="仿宋_GB2312" w:cs="仿宋_GB2312" w:hint="eastAsia"/>
          <w:b/>
          <w:bCs/>
          <w:sz w:val="32"/>
          <w:szCs w:val="32"/>
        </w:rPr>
        <w:t>列为重点</w:t>
      </w:r>
      <w:r>
        <w:rPr>
          <w:rFonts w:ascii="仿宋_GB2312" w:eastAsia="仿宋_GB2312" w:hAnsi="仿宋_GB2312" w:cs="仿宋_GB2312" w:hint="eastAsia"/>
          <w:b/>
          <w:bCs/>
          <w:kern w:val="0"/>
          <w:sz w:val="32"/>
          <w:szCs w:val="32"/>
        </w:rPr>
        <w:t>的</w:t>
      </w:r>
      <w:r>
        <w:rPr>
          <w:rFonts w:ascii="仿宋_GB2312" w:eastAsia="仿宋_GB2312" w:hAnsi="仿宋_GB2312" w:cs="仿宋_GB2312" w:hint="eastAsia"/>
          <w:b/>
          <w:bCs/>
          <w:sz w:val="32"/>
          <w:szCs w:val="32"/>
        </w:rPr>
        <w:t>涉</w:t>
      </w:r>
      <w:r>
        <w:rPr>
          <w:rFonts w:ascii="仿宋_GB2312" w:eastAsia="仿宋_GB2312" w:hAnsi="仿宋_GB2312" w:cs="仿宋_GB2312" w:hint="eastAsia"/>
          <w:b/>
          <w:bCs/>
          <w:kern w:val="0"/>
          <w:sz w:val="32"/>
          <w:szCs w:val="32"/>
        </w:rPr>
        <w:t>餐饮油烟信访件</w:t>
      </w:r>
      <w:r>
        <w:rPr>
          <w:rFonts w:ascii="仿宋_GB2312" w:eastAsia="仿宋_GB2312" w:hAnsi="仿宋_GB2312" w:cs="仿宋_GB2312" w:hint="eastAsia"/>
          <w:b/>
          <w:bCs/>
          <w:sz w:val="32"/>
          <w:szCs w:val="32"/>
        </w:rPr>
        <w:t>。</w:t>
      </w:r>
      <w:r>
        <w:rPr>
          <w:rFonts w:ascii="仿宋_GB2312" w:eastAsia="仿宋_GB2312" w:hint="eastAsia"/>
          <w:sz w:val="32"/>
          <w:szCs w:val="32"/>
        </w:rPr>
        <w:t>各县（市、区）局应对受理的多次投诉的涉餐饮油烟信访件逐一进行对照检查，一旦发现违法行为应当按照职权范围和划转事项依法立案查处。</w:t>
      </w:r>
      <w:r>
        <w:rPr>
          <w:rFonts w:ascii="仿宋_GB2312" w:eastAsia="仿宋_GB2312" w:hAnsi="仿宋_GB2312" w:cs="仿宋_GB2312" w:hint="eastAsia"/>
          <w:b/>
          <w:bCs/>
          <w:sz w:val="32"/>
          <w:szCs w:val="32"/>
        </w:rPr>
        <w:t>三是市本级100件涉餐饮油烟信访件</w:t>
      </w:r>
      <w:r>
        <w:rPr>
          <w:rFonts w:ascii="仿宋_GB2312" w:eastAsia="仿宋_GB2312" w:hAnsi="仿宋_GB2312" w:cs="仿宋_GB2312" w:hint="eastAsia"/>
          <w:b/>
          <w:bCs/>
          <w:kern w:val="0"/>
          <w:sz w:val="32"/>
          <w:szCs w:val="32"/>
        </w:rPr>
        <w:t>。</w:t>
      </w:r>
      <w:r>
        <w:rPr>
          <w:rFonts w:ascii="仿宋_GB2312" w:eastAsia="仿宋_GB2312" w:hint="eastAsia"/>
          <w:sz w:val="32"/>
          <w:szCs w:val="32"/>
        </w:rPr>
        <w:t>市本级三区需对《2019年中央环保督察中央、省、市交办涉餐饮油烟信访件清单》的100个信访件进行“回头看”全覆盖。</w:t>
      </w:r>
    </w:p>
    <w:p w:rsidR="008D5DCF" w:rsidRDefault="00F34A29">
      <w:pPr>
        <w:spacing w:line="58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rPr>
        <w:t>（三）执法检查内容。</w:t>
      </w:r>
      <w:r>
        <w:rPr>
          <w:rFonts w:ascii="仿宋_GB2312" w:eastAsia="仿宋_GB2312" w:hAnsi="仿宋_GB2312" w:cs="仿宋_GB2312" w:hint="eastAsia"/>
          <w:sz w:val="32"/>
          <w:szCs w:val="32"/>
        </w:rPr>
        <w:t>此次专项执法行动，重点检查《嘉兴市餐饮业油烟管理办法》中明确由综合行政执法系统行使的行政处罚事项；各地可根据实际情况结合“综合查一次”，对检查内容作适当调整。</w:t>
      </w:r>
    </w:p>
    <w:p w:rsidR="008D5DCF" w:rsidRDefault="00F34A29">
      <w:pPr>
        <w:spacing w:line="580" w:lineRule="exact"/>
        <w:ind w:firstLine="645"/>
        <w:rPr>
          <w:rFonts w:ascii="黑体" w:eastAsia="黑体"/>
          <w:sz w:val="32"/>
          <w:szCs w:val="32"/>
        </w:rPr>
      </w:pPr>
      <w:r>
        <w:rPr>
          <w:rFonts w:ascii="黑体" w:eastAsia="黑体" w:hint="eastAsia"/>
          <w:sz w:val="32"/>
          <w:szCs w:val="32"/>
        </w:rPr>
        <w:t>三、工作安排</w:t>
      </w:r>
      <w:r>
        <w:rPr>
          <w:rFonts w:ascii="楷体_GB2312" w:eastAsia="楷体_GB2312"/>
          <w:b/>
          <w:sz w:val="32"/>
          <w:szCs w:val="32"/>
        </w:rPr>
        <w:t xml:space="preserve">  </w:t>
      </w:r>
    </w:p>
    <w:p w:rsidR="008D5DCF" w:rsidRDefault="00F34A29">
      <w:pPr>
        <w:pStyle w:val="p0"/>
        <w:snapToGrid w:val="0"/>
        <w:spacing w:line="580" w:lineRule="exact"/>
        <w:ind w:firstLine="630"/>
        <w:rPr>
          <w:rFonts w:ascii="仿宋_GB2312" w:eastAsia="仿宋_GB2312"/>
          <w:sz w:val="32"/>
          <w:szCs w:val="32"/>
        </w:rPr>
      </w:pPr>
      <w:r>
        <w:rPr>
          <w:rFonts w:ascii="仿宋_GB2312" w:eastAsia="仿宋_GB2312" w:hint="eastAsia"/>
          <w:sz w:val="32"/>
          <w:szCs w:val="32"/>
        </w:rPr>
        <w:lastRenderedPageBreak/>
        <w:t>专项执法时间从</w:t>
      </w:r>
      <w:r>
        <w:rPr>
          <w:rFonts w:ascii="仿宋_GB2312" w:eastAsia="仿宋_GB2312"/>
          <w:sz w:val="32"/>
          <w:szCs w:val="32"/>
        </w:rPr>
        <w:t>20</w:t>
      </w:r>
      <w:r>
        <w:rPr>
          <w:rFonts w:ascii="仿宋_GB2312" w:eastAsia="仿宋_GB2312" w:hint="eastAsia"/>
          <w:sz w:val="32"/>
          <w:szCs w:val="32"/>
        </w:rPr>
        <w:t>20年7月1日开始，至</w:t>
      </w:r>
      <w:r>
        <w:rPr>
          <w:rFonts w:ascii="仿宋_GB2312" w:eastAsia="仿宋_GB2312"/>
          <w:sz w:val="32"/>
          <w:szCs w:val="32"/>
        </w:rPr>
        <w:t>20</w:t>
      </w:r>
      <w:r>
        <w:rPr>
          <w:rFonts w:ascii="仿宋_GB2312" w:eastAsia="仿宋_GB2312" w:hint="eastAsia"/>
          <w:sz w:val="32"/>
          <w:szCs w:val="32"/>
        </w:rPr>
        <w:t>20年10月31日结束，分三个阶段进行：</w:t>
      </w:r>
    </w:p>
    <w:p w:rsidR="008D5DCF" w:rsidRDefault="00F34A29">
      <w:pPr>
        <w:pStyle w:val="p0"/>
        <w:snapToGrid w:val="0"/>
        <w:spacing w:line="580" w:lineRule="exact"/>
        <w:ind w:firstLineChars="200" w:firstLine="643"/>
        <w:rPr>
          <w:rFonts w:ascii="仿宋" w:eastAsia="仿宋" w:hAnsi="仿宋"/>
          <w:b/>
          <w:spacing w:val="-6"/>
          <w:sz w:val="32"/>
          <w:szCs w:val="32"/>
        </w:rPr>
      </w:pPr>
      <w:r>
        <w:rPr>
          <w:rFonts w:ascii="楷体_GB2312" w:eastAsia="楷体_GB2312" w:hint="eastAsia"/>
          <w:b/>
          <w:sz w:val="32"/>
          <w:szCs w:val="32"/>
        </w:rPr>
        <w:t>（一）准备阶段（7月1日至7月10日）。</w:t>
      </w:r>
      <w:r>
        <w:rPr>
          <w:rFonts w:ascii="仿宋_GB2312" w:eastAsia="仿宋_GB2312" w:hint="eastAsia"/>
          <w:sz w:val="32"/>
          <w:szCs w:val="32"/>
        </w:rPr>
        <w:t>各级综合行政执法部门会同职能部门，对辖区内餐饮经营单位</w:t>
      </w:r>
      <w:r>
        <w:rPr>
          <w:rFonts w:ascii="仿宋_GB2312" w:eastAsia="仿宋_GB2312"/>
          <w:sz w:val="32"/>
          <w:szCs w:val="32"/>
        </w:rPr>
        <w:t>和新</w:t>
      </w:r>
      <w:r>
        <w:rPr>
          <w:rFonts w:ascii="仿宋_GB2312" w:eastAsia="仿宋_GB2312" w:hint="eastAsia"/>
          <w:sz w:val="32"/>
          <w:szCs w:val="32"/>
        </w:rPr>
        <w:t>建</w:t>
      </w:r>
      <w:r>
        <w:rPr>
          <w:rFonts w:ascii="仿宋_GB2312" w:eastAsia="仿宋_GB2312"/>
          <w:sz w:val="32"/>
          <w:szCs w:val="32"/>
        </w:rPr>
        <w:t>、改</w:t>
      </w:r>
      <w:r>
        <w:rPr>
          <w:rFonts w:ascii="仿宋_GB2312" w:eastAsia="仿宋_GB2312" w:hint="eastAsia"/>
          <w:sz w:val="32"/>
          <w:szCs w:val="32"/>
        </w:rPr>
        <w:t>建</w:t>
      </w:r>
      <w:r>
        <w:rPr>
          <w:rFonts w:ascii="仿宋_GB2312" w:eastAsia="仿宋_GB2312"/>
          <w:sz w:val="32"/>
          <w:szCs w:val="32"/>
        </w:rPr>
        <w:t>、扩建餐饮服务项目进行</w:t>
      </w:r>
      <w:r>
        <w:rPr>
          <w:rFonts w:ascii="仿宋_GB2312" w:eastAsia="仿宋_GB2312" w:hint="eastAsia"/>
          <w:sz w:val="32"/>
          <w:szCs w:val="32"/>
        </w:rPr>
        <w:t>建档立库，建立辖区餐饮经营单位的底数清单，根据整治工作目标任务，制定需要整治的执法清单，明确整治要求、整治期限，全面做好专项执法准备工作。</w:t>
      </w:r>
    </w:p>
    <w:p w:rsidR="008D5DCF" w:rsidRDefault="00F34A29">
      <w:pPr>
        <w:pStyle w:val="p0"/>
        <w:snapToGrid w:val="0"/>
        <w:spacing w:line="580" w:lineRule="exact"/>
        <w:ind w:firstLine="630"/>
        <w:rPr>
          <w:rFonts w:ascii="仿宋_GB2312" w:eastAsia="仿宋_GB2312"/>
          <w:sz w:val="32"/>
          <w:szCs w:val="32"/>
        </w:rPr>
      </w:pPr>
      <w:r>
        <w:rPr>
          <w:rFonts w:ascii="楷体_GB2312" w:eastAsia="楷体_GB2312" w:hint="eastAsia"/>
          <w:b/>
          <w:sz w:val="32"/>
          <w:szCs w:val="32"/>
        </w:rPr>
        <w:t>（二）专项执法阶段（7月11日至10月15日）。</w:t>
      </w:r>
      <w:r>
        <w:rPr>
          <w:rFonts w:ascii="仿宋_GB2312" w:eastAsia="仿宋_GB2312" w:hint="eastAsia"/>
          <w:sz w:val="32"/>
          <w:szCs w:val="32"/>
        </w:rPr>
        <w:t>各级综合行政执法部门按照《嘉兴市餐饮业油烟管理办法》规定，以及经划转由综合行政执法部门行使的行政处罚事项，实施“双随机”执法检查，对检查中发现的餐饮经营单位存在的问题依法落实督促整改；对于符合立案条件的案件及时予以立案查处，全过程实行闭环管理；对其他部门的事项及时移交，并做好跟踪落实。</w:t>
      </w:r>
    </w:p>
    <w:p w:rsidR="008D5DCF" w:rsidRDefault="00F34A29">
      <w:pPr>
        <w:pStyle w:val="p0"/>
        <w:snapToGrid w:val="0"/>
        <w:spacing w:line="580" w:lineRule="exact"/>
        <w:ind w:firstLine="630"/>
        <w:rPr>
          <w:rFonts w:ascii="仿宋_GB2312" w:eastAsia="仿宋_GB2312"/>
          <w:spacing w:val="-6"/>
          <w:sz w:val="32"/>
          <w:szCs w:val="32"/>
        </w:rPr>
      </w:pPr>
      <w:r>
        <w:rPr>
          <w:rFonts w:ascii="楷体_GB2312" w:eastAsia="楷体_GB2312" w:hint="eastAsia"/>
          <w:b/>
          <w:sz w:val="32"/>
          <w:szCs w:val="32"/>
        </w:rPr>
        <w:t>（三）总结阶段（10月16日至10月31日）。</w:t>
      </w:r>
      <w:r>
        <w:rPr>
          <w:rFonts w:ascii="仿宋_GB2312" w:eastAsia="仿宋_GB2312" w:hint="eastAsia"/>
          <w:sz w:val="32"/>
          <w:szCs w:val="32"/>
        </w:rPr>
        <w:t>巩固整治和专项执法成果，健全长效管理机制，落实长效管理措施，适时对整改对象进行回头看。全面客观总结专项执法工作经验，完善工作台帐，并及时向属地党委政府、生态办、生态环保、市场监管等部门</w:t>
      </w:r>
      <w:proofErr w:type="gramStart"/>
      <w:r>
        <w:rPr>
          <w:rFonts w:ascii="仿宋_GB2312" w:eastAsia="仿宋_GB2312" w:hint="eastAsia"/>
          <w:sz w:val="32"/>
          <w:szCs w:val="32"/>
        </w:rPr>
        <w:t>反馈整治</w:t>
      </w:r>
      <w:proofErr w:type="gramEnd"/>
      <w:r>
        <w:rPr>
          <w:rFonts w:ascii="仿宋_GB2312" w:eastAsia="仿宋_GB2312" w:hint="eastAsia"/>
          <w:sz w:val="32"/>
          <w:szCs w:val="32"/>
        </w:rPr>
        <w:t>情况。</w:t>
      </w:r>
    </w:p>
    <w:p w:rsidR="008D5DCF" w:rsidRDefault="00F34A29">
      <w:pPr>
        <w:spacing w:line="580" w:lineRule="exact"/>
        <w:ind w:firstLine="645"/>
        <w:rPr>
          <w:rFonts w:ascii="黑体" w:eastAsia="黑体"/>
          <w:sz w:val="32"/>
          <w:szCs w:val="32"/>
        </w:rPr>
      </w:pPr>
      <w:r>
        <w:rPr>
          <w:rFonts w:ascii="黑体" w:eastAsia="黑体" w:hint="eastAsia"/>
          <w:sz w:val="32"/>
          <w:szCs w:val="32"/>
        </w:rPr>
        <w:t>四、工作要求</w:t>
      </w:r>
      <w:r>
        <w:rPr>
          <w:rFonts w:ascii="楷体_GB2312" w:eastAsia="楷体_GB2312"/>
          <w:b/>
          <w:sz w:val="32"/>
          <w:szCs w:val="32"/>
        </w:rPr>
        <w:t xml:space="preserve">  </w:t>
      </w:r>
    </w:p>
    <w:p w:rsidR="008D5DCF" w:rsidRDefault="00F34A29">
      <w:pPr>
        <w:spacing w:line="580" w:lineRule="exact"/>
        <w:ind w:firstLine="660"/>
        <w:rPr>
          <w:rFonts w:ascii="仿宋_GB2312" w:eastAsia="仿宋_GB2312"/>
          <w:spacing w:val="-4"/>
          <w:sz w:val="32"/>
          <w:szCs w:val="32"/>
        </w:rPr>
      </w:pPr>
      <w:r>
        <w:rPr>
          <w:rFonts w:ascii="楷体_GB2312" w:eastAsia="楷体_GB2312" w:hAnsi="宋体" w:cs="宋体" w:hint="eastAsia"/>
          <w:b/>
          <w:kern w:val="0"/>
          <w:sz w:val="32"/>
          <w:szCs w:val="32"/>
        </w:rPr>
        <w:t>（一）加强组织领导。</w:t>
      </w:r>
      <w:r>
        <w:rPr>
          <w:rFonts w:ascii="仿宋_GB2312" w:eastAsia="仿宋_GB2312" w:hint="eastAsia"/>
          <w:spacing w:val="-4"/>
          <w:sz w:val="32"/>
          <w:szCs w:val="32"/>
        </w:rPr>
        <w:t>要认真贯彻落实《嘉兴市餐饮业油烟管理办法》，高度重视餐饮业油烟污染的专项执法工作，聚焦中央和省级生态环保督察交办的涉餐饮油烟信访件及各地多次投诉的涉餐饮油烟信访件，结合各地实际，细化工作方案，明确分管</w:t>
      </w:r>
      <w:r>
        <w:rPr>
          <w:rFonts w:ascii="仿宋_GB2312" w:eastAsia="仿宋_GB2312" w:hint="eastAsia"/>
          <w:spacing w:val="-4"/>
          <w:sz w:val="32"/>
          <w:szCs w:val="32"/>
        </w:rPr>
        <w:lastRenderedPageBreak/>
        <w:t>领导和职能科室，层层落实责任，并积极寻求各级生态办对餐饮业油烟污染执法工作的支持，确保专项执法工作取得实效。</w:t>
      </w:r>
    </w:p>
    <w:p w:rsidR="008D5DCF" w:rsidRDefault="00F34A29">
      <w:pPr>
        <w:spacing w:line="580" w:lineRule="exact"/>
        <w:ind w:firstLineChars="200" w:firstLine="643"/>
        <w:rPr>
          <w:rFonts w:ascii="仿宋_GB2312" w:eastAsia="仿宋_GB2312"/>
          <w:spacing w:val="-4"/>
          <w:sz w:val="32"/>
          <w:szCs w:val="32"/>
        </w:rPr>
      </w:pPr>
      <w:r>
        <w:rPr>
          <w:rFonts w:ascii="楷体_GB2312" w:eastAsia="楷体_GB2312" w:hAnsi="宋体" w:cs="宋体" w:hint="eastAsia"/>
          <w:b/>
          <w:kern w:val="0"/>
          <w:sz w:val="32"/>
          <w:szCs w:val="32"/>
        </w:rPr>
        <w:t>（二）强化部门协作。</w:t>
      </w:r>
      <w:r>
        <w:rPr>
          <w:rFonts w:ascii="仿宋_GB2312" w:eastAsia="仿宋_GB2312" w:hint="eastAsia"/>
          <w:spacing w:val="-4"/>
          <w:sz w:val="32"/>
          <w:szCs w:val="32"/>
        </w:rPr>
        <w:t>要强化与生态环境、市场监管等部门的沟通协调和联动协作，形成各具特色、实在管用的教科书式的工作流程和执法模式。同时，畅通部门</w:t>
      </w:r>
      <w:proofErr w:type="gramStart"/>
      <w:r>
        <w:rPr>
          <w:rFonts w:ascii="仿宋_GB2312" w:eastAsia="仿宋_GB2312" w:hint="eastAsia"/>
          <w:spacing w:val="-4"/>
          <w:sz w:val="32"/>
          <w:szCs w:val="32"/>
        </w:rPr>
        <w:t>间处罚</w:t>
      </w:r>
      <w:proofErr w:type="gramEnd"/>
      <w:r>
        <w:rPr>
          <w:rFonts w:ascii="仿宋_GB2312" w:eastAsia="仿宋_GB2312" w:hint="eastAsia"/>
          <w:spacing w:val="-4"/>
          <w:sz w:val="32"/>
          <w:szCs w:val="32"/>
        </w:rPr>
        <w:t>案件移送通道，有效运用生态环境、市场监管等部门日常监管信息和专业优势，推动职能部门的源头监管与行政处罚紧密协作，通过强有力的行政处罚助推源头监管，形成合力。</w:t>
      </w:r>
    </w:p>
    <w:p w:rsidR="008D5DCF" w:rsidRDefault="00F34A29">
      <w:pPr>
        <w:pStyle w:val="p0"/>
        <w:snapToGrid w:val="0"/>
        <w:spacing w:line="580" w:lineRule="exact"/>
        <w:ind w:firstLine="630"/>
        <w:rPr>
          <w:rFonts w:ascii="仿宋_GB2312" w:eastAsia="仿宋_GB2312" w:hAnsi="Calibri" w:cs="Times New Roman"/>
          <w:kern w:val="2"/>
          <w:sz w:val="32"/>
          <w:szCs w:val="32"/>
        </w:rPr>
      </w:pPr>
      <w:r>
        <w:rPr>
          <w:rFonts w:ascii="楷体_GB2312" w:eastAsia="楷体_GB2312" w:hint="eastAsia"/>
          <w:b/>
          <w:sz w:val="32"/>
          <w:szCs w:val="32"/>
        </w:rPr>
        <w:t>（三）加大处罚力度。</w:t>
      </w:r>
      <w:r>
        <w:rPr>
          <w:rFonts w:ascii="仿宋_GB2312" w:eastAsia="仿宋_GB2312" w:hAnsi="Calibri" w:cs="Times New Roman" w:hint="eastAsia"/>
          <w:kern w:val="2"/>
          <w:sz w:val="32"/>
          <w:szCs w:val="32"/>
        </w:rPr>
        <w:t>要结合《嘉兴市餐饮业油烟管理办法》的实施，有力开展执法检查，对群众反映强烈的问题加大检查密度和处罚力度，特别是对于一些长期存在重复投诉的重点问题，分类施策，高效处置，以强有力的行政处罚助推问题的整改落实，充分树立综合行政执法部门的执法权威。同时，要全面建立健全长效管理机制，杜绝边治理边反弹，切实巩固执法成效。</w:t>
      </w:r>
    </w:p>
    <w:p w:rsidR="008D5DCF" w:rsidRDefault="00F34A29">
      <w:pPr>
        <w:adjustRightInd w:val="0"/>
        <w:spacing w:line="580" w:lineRule="exact"/>
        <w:ind w:firstLineChars="200" w:firstLine="643"/>
        <w:rPr>
          <w:rFonts w:ascii="仿宋_GB2312" w:eastAsia="仿宋_GB2312" w:hAnsi="仿宋_GB2312" w:cs="仿宋_GB2312"/>
          <w:kern w:val="0"/>
          <w:sz w:val="32"/>
          <w:szCs w:val="32"/>
        </w:rPr>
      </w:pPr>
      <w:r>
        <w:rPr>
          <w:rFonts w:ascii="楷体_GB2312" w:eastAsia="楷体_GB2312" w:hint="eastAsia"/>
          <w:b/>
          <w:sz w:val="32"/>
          <w:szCs w:val="32"/>
        </w:rPr>
        <w:t>（四）注重宣传引导</w:t>
      </w:r>
      <w:r>
        <w:rPr>
          <w:rFonts w:ascii="楷体_GB2312" w:eastAsia="楷体_GB2312" w:hAnsi="仿宋_GB2312" w:cs="仿宋_GB2312" w:hint="eastAsia"/>
          <w:b/>
          <w:bCs/>
          <w:sz w:val="32"/>
          <w:szCs w:val="32"/>
        </w:rPr>
        <w:t>。</w:t>
      </w:r>
      <w:r>
        <w:rPr>
          <w:rFonts w:ascii="仿宋_GB2312" w:eastAsia="仿宋_GB2312" w:hAnsi="仿宋_GB2312" w:cs="仿宋_GB2312" w:hint="eastAsia"/>
          <w:sz w:val="32"/>
          <w:szCs w:val="32"/>
        </w:rPr>
        <w:t>要积极组织执法人员深入学习《嘉兴市餐饮业油烟管理办法》，确保能准确理解、精准把握、灵活运用，</w:t>
      </w:r>
      <w:r>
        <w:rPr>
          <w:rFonts w:ascii="仿宋_GB2312" w:eastAsia="仿宋_GB2312" w:hint="eastAsia"/>
          <w:spacing w:val="-4"/>
          <w:sz w:val="32"/>
          <w:szCs w:val="32"/>
        </w:rPr>
        <w:t>充分利用各类新闻媒体，</w:t>
      </w:r>
      <w:r>
        <w:rPr>
          <w:rFonts w:ascii="仿宋_GB2312" w:eastAsia="仿宋_GB2312" w:hAnsi="仿宋_GB2312" w:cs="仿宋_GB2312" w:hint="eastAsia"/>
          <w:sz w:val="32"/>
          <w:szCs w:val="32"/>
        </w:rPr>
        <w:t>大力开展《嘉兴市餐饮业油烟管理办法》的宣贯，要加强与市和属地餐饮协会的工作衔接，加强宣传，扩大行业知晓面，注重在日常工作中加大对从业人员的普法教育和培训，对于群众来信来访反映的餐饮油烟污染问题，要积极妥善处理并加强正面引导，让管理对象及时了解、掌握新法规，促使其自觉守法经营。</w:t>
      </w:r>
    </w:p>
    <w:p w:rsidR="008D5DCF" w:rsidRDefault="00F34A29">
      <w:pPr>
        <w:spacing w:line="580" w:lineRule="exact"/>
        <w:ind w:firstLineChars="200" w:firstLine="643"/>
      </w:pPr>
      <w:r>
        <w:rPr>
          <w:rFonts w:ascii="楷体_GB2312" w:eastAsia="楷体_GB2312" w:hAnsi="宋体" w:cs="宋体" w:hint="eastAsia"/>
          <w:b/>
          <w:kern w:val="0"/>
          <w:sz w:val="32"/>
          <w:szCs w:val="32"/>
        </w:rPr>
        <w:t>（五）及时报</w:t>
      </w:r>
      <w:r>
        <w:rPr>
          <w:rFonts w:ascii="楷体_GB2312" w:eastAsia="楷体_GB2312" w:hint="eastAsia"/>
          <w:b/>
          <w:sz w:val="32"/>
          <w:szCs w:val="32"/>
        </w:rPr>
        <w:t>送</w:t>
      </w:r>
      <w:r>
        <w:rPr>
          <w:rFonts w:ascii="楷体_GB2312" w:eastAsia="楷体_GB2312" w:hAnsi="宋体" w:cs="宋体" w:hint="eastAsia"/>
          <w:b/>
          <w:kern w:val="0"/>
          <w:sz w:val="32"/>
          <w:szCs w:val="32"/>
        </w:rPr>
        <w:t>信息</w:t>
      </w:r>
      <w:r>
        <w:rPr>
          <w:rFonts w:ascii="楷体_GB2312" w:eastAsia="楷体_GB2312" w:hint="eastAsia"/>
          <w:b/>
          <w:sz w:val="32"/>
          <w:szCs w:val="32"/>
        </w:rPr>
        <w:t>。</w:t>
      </w:r>
      <w:r>
        <w:rPr>
          <w:rFonts w:ascii="仿宋_GB2312" w:eastAsia="仿宋_GB2312" w:hint="eastAsia"/>
          <w:sz w:val="32"/>
          <w:szCs w:val="32"/>
        </w:rPr>
        <w:t>要加强各类信息的收集、梳理和汇总</w:t>
      </w:r>
      <w:r>
        <w:rPr>
          <w:rFonts w:ascii="仿宋_GB2312" w:eastAsia="仿宋_GB2312" w:hint="eastAsia"/>
          <w:sz w:val="32"/>
          <w:szCs w:val="32"/>
        </w:rPr>
        <w:lastRenderedPageBreak/>
        <w:t>工作，及时总结餐饮业油烟污染专项执法工作中好的做法和经验。专项行动期间，</w:t>
      </w:r>
      <w:r>
        <w:rPr>
          <w:rFonts w:ascii="仿宋_GB2312" w:eastAsia="仿宋_GB2312" w:hint="eastAsia"/>
          <w:spacing w:val="-6"/>
          <w:sz w:val="32"/>
          <w:szCs w:val="32"/>
        </w:rPr>
        <w:t>于每月25日前将统计表（详见附件）上报，并于2020年10月25日前报送专项执法行动工作总结。（联系人：综合执法处王诗怡，电话：83377249，手机：13666768854，同名钉钉。）</w:t>
      </w:r>
    </w:p>
    <w:p w:rsidR="008D5DCF" w:rsidRDefault="008D5DCF">
      <w:pPr>
        <w:spacing w:line="580" w:lineRule="exact"/>
      </w:pPr>
    </w:p>
    <w:p w:rsidR="008D5DCF" w:rsidRDefault="00F34A29">
      <w:pPr>
        <w:spacing w:line="580" w:lineRule="exact"/>
        <w:ind w:firstLineChars="200" w:firstLine="640"/>
        <w:rPr>
          <w:rFonts w:ascii="仿宋_GB2312" w:eastAsia="仿宋_GB2312"/>
          <w:sz w:val="32"/>
          <w:szCs w:val="32"/>
        </w:rPr>
      </w:pPr>
      <w:r>
        <w:rPr>
          <w:rFonts w:ascii="仿宋_GB2312" w:eastAsia="仿宋_GB2312" w:hint="eastAsia"/>
          <w:sz w:val="32"/>
          <w:szCs w:val="32"/>
        </w:rPr>
        <w:t>附件：餐饮业油烟污染专项执法行动情况统计表</w:t>
      </w: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F34A29">
      <w:pPr>
        <w:spacing w:line="580" w:lineRule="exact"/>
        <w:ind w:firstLineChars="1500" w:firstLine="4800"/>
        <w:rPr>
          <w:rFonts w:ascii="仿宋_GB2312" w:eastAsia="仿宋_GB2312"/>
          <w:sz w:val="32"/>
          <w:szCs w:val="32"/>
        </w:rPr>
      </w:pPr>
      <w:r>
        <w:rPr>
          <w:rFonts w:ascii="仿宋_GB2312" w:eastAsia="仿宋_GB2312" w:hint="eastAsia"/>
          <w:sz w:val="32"/>
          <w:szCs w:val="32"/>
        </w:rPr>
        <w:t>嘉兴市综合行政执法局</w:t>
      </w:r>
    </w:p>
    <w:p w:rsidR="008D5DCF" w:rsidRDefault="00F34A29">
      <w:pPr>
        <w:spacing w:line="580" w:lineRule="exact"/>
        <w:ind w:firstLineChars="1600" w:firstLine="5120"/>
        <w:rPr>
          <w:rFonts w:ascii="仿宋_GB2312" w:eastAsia="仿宋_GB2312"/>
          <w:sz w:val="32"/>
          <w:szCs w:val="32"/>
        </w:rPr>
      </w:pPr>
      <w:r>
        <w:rPr>
          <w:rFonts w:ascii="仿宋_GB2312" w:eastAsia="仿宋_GB2312" w:hint="eastAsia"/>
          <w:sz w:val="32"/>
          <w:szCs w:val="32"/>
        </w:rPr>
        <w:t>2020年6月30日</w:t>
      </w:r>
    </w:p>
    <w:p w:rsidR="008D5DCF" w:rsidRDefault="008D5DCF">
      <w:pPr>
        <w:spacing w:line="580" w:lineRule="exact"/>
        <w:ind w:firstLineChars="1600" w:firstLine="5120"/>
        <w:rPr>
          <w:rFonts w:ascii="仿宋_GB2312" w:eastAsia="仿宋_GB2312"/>
          <w:sz w:val="32"/>
          <w:szCs w:val="32"/>
        </w:rPr>
      </w:pPr>
    </w:p>
    <w:p w:rsidR="008D5DCF" w:rsidRDefault="008D5DCF">
      <w:pPr>
        <w:spacing w:line="580" w:lineRule="exact"/>
        <w:ind w:firstLineChars="1600" w:firstLine="5120"/>
        <w:rPr>
          <w:rFonts w:ascii="仿宋_GB2312" w:eastAsia="仿宋_GB2312"/>
          <w:sz w:val="32"/>
          <w:szCs w:val="32"/>
        </w:rPr>
      </w:pPr>
    </w:p>
    <w:p w:rsidR="008D5DCF" w:rsidRDefault="008D5DCF">
      <w:pPr>
        <w:spacing w:line="580" w:lineRule="exact"/>
        <w:ind w:firstLineChars="1600" w:firstLine="5120"/>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8D5DCF">
      <w:pPr>
        <w:spacing w:line="580" w:lineRule="exact"/>
        <w:rPr>
          <w:rFonts w:ascii="仿宋_GB2312" w:eastAsia="仿宋_GB2312"/>
          <w:sz w:val="32"/>
          <w:szCs w:val="32"/>
        </w:rPr>
      </w:pPr>
    </w:p>
    <w:p w:rsidR="008D5DCF" w:rsidRDefault="00F34A29">
      <w:pPr>
        <w:spacing w:line="580" w:lineRule="exact"/>
        <w:ind w:left="960" w:hangingChars="300" w:hanging="960"/>
        <w:rPr>
          <w:rFonts w:ascii="仿宋_GB2312" w:eastAsia="仿宋_GB2312"/>
          <w:sz w:val="32"/>
          <w:szCs w:val="32"/>
        </w:rPr>
        <w:sectPr w:rsidR="008D5DCF">
          <w:footerReference w:type="default" r:id="rId8"/>
          <w:pgSz w:w="11906" w:h="16838"/>
          <w:pgMar w:top="1701" w:right="1531" w:bottom="1417" w:left="1531" w:header="851" w:footer="992" w:gutter="0"/>
          <w:cols w:space="0"/>
          <w:docGrid w:type="lines" w:linePitch="312"/>
        </w:sectPr>
      </w:pPr>
      <w:r>
        <w:rPr>
          <w:rFonts w:ascii="仿宋_GB2312" w:eastAsia="仿宋_GB2312" w:hint="eastAsia"/>
          <w:sz w:val="32"/>
          <w:szCs w:val="32"/>
        </w:rPr>
        <w:t>抄送：</w:t>
      </w:r>
      <w:r w:rsidR="00A73B74">
        <w:rPr>
          <w:rFonts w:ascii="仿宋_GB2312" w:eastAsia="仿宋_GB2312" w:hint="eastAsia"/>
          <w:sz w:val="32"/>
          <w:szCs w:val="32"/>
        </w:rPr>
        <w:t>市府办，</w:t>
      </w:r>
      <w:bookmarkStart w:id="0" w:name="_GoBack"/>
      <w:bookmarkEnd w:id="0"/>
      <w:r>
        <w:rPr>
          <w:rFonts w:ascii="仿宋_GB2312" w:eastAsia="仿宋_GB2312" w:hint="eastAsia"/>
          <w:sz w:val="32"/>
          <w:szCs w:val="32"/>
        </w:rPr>
        <w:t>市人大办，市生态办，市生态环境局，市市场监管局，沈晓红副市长，肖建国副秘书长。</w:t>
      </w:r>
    </w:p>
    <w:p w:rsidR="008D5DCF" w:rsidRDefault="00F34A29">
      <w:pPr>
        <w:rPr>
          <w:rFonts w:ascii="黑体" w:eastAsia="黑体" w:hAnsi="黑体" w:cs="黑体"/>
          <w:sz w:val="32"/>
          <w:szCs w:val="32"/>
        </w:rPr>
      </w:pPr>
      <w:r>
        <w:rPr>
          <w:rFonts w:ascii="黑体" w:eastAsia="黑体" w:hAnsi="黑体" w:cs="黑体" w:hint="eastAsia"/>
          <w:sz w:val="32"/>
          <w:szCs w:val="32"/>
        </w:rPr>
        <w:lastRenderedPageBreak/>
        <w:t>附件：</w:t>
      </w:r>
    </w:p>
    <w:p w:rsidR="008D5DCF" w:rsidRDefault="00F34A29">
      <w:pPr>
        <w:jc w:val="center"/>
        <w:rPr>
          <w:rFonts w:ascii="宋体" w:hAnsi="宋体" w:cs="宋体"/>
          <w:b/>
          <w:bCs/>
          <w:sz w:val="44"/>
          <w:szCs w:val="44"/>
        </w:rPr>
      </w:pPr>
      <w:r>
        <w:rPr>
          <w:rFonts w:ascii="宋体" w:hAnsi="宋体" w:cs="宋体" w:hint="eastAsia"/>
          <w:b/>
          <w:bCs/>
          <w:sz w:val="44"/>
          <w:szCs w:val="44"/>
        </w:rPr>
        <w:t>餐饮业油烟污染专项执法行动情况统计表</w:t>
      </w:r>
    </w:p>
    <w:tbl>
      <w:tblPr>
        <w:tblStyle w:val="a6"/>
        <w:tblpPr w:leftFromText="180" w:rightFromText="180" w:vertAnchor="text" w:horzAnchor="page" w:tblpXSpec="center" w:tblpY="404"/>
        <w:tblOverlap w:val="never"/>
        <w:tblW w:w="14284" w:type="dxa"/>
        <w:jc w:val="center"/>
        <w:tblLayout w:type="fixed"/>
        <w:tblLook w:val="04A0" w:firstRow="1" w:lastRow="0" w:firstColumn="1" w:lastColumn="0" w:noHBand="0" w:noVBand="1"/>
      </w:tblPr>
      <w:tblGrid>
        <w:gridCol w:w="919"/>
        <w:gridCol w:w="536"/>
        <w:gridCol w:w="536"/>
        <w:gridCol w:w="537"/>
        <w:gridCol w:w="731"/>
        <w:gridCol w:w="732"/>
        <w:gridCol w:w="732"/>
        <w:gridCol w:w="732"/>
        <w:gridCol w:w="732"/>
        <w:gridCol w:w="732"/>
        <w:gridCol w:w="732"/>
        <w:gridCol w:w="536"/>
        <w:gridCol w:w="542"/>
        <w:gridCol w:w="536"/>
        <w:gridCol w:w="536"/>
        <w:gridCol w:w="538"/>
        <w:gridCol w:w="552"/>
        <w:gridCol w:w="552"/>
        <w:gridCol w:w="840"/>
        <w:gridCol w:w="552"/>
        <w:gridCol w:w="552"/>
        <w:gridCol w:w="897"/>
      </w:tblGrid>
      <w:tr w:rsidR="008D5DCF">
        <w:trPr>
          <w:trHeight w:val="958"/>
          <w:jc w:val="center"/>
        </w:trPr>
        <w:tc>
          <w:tcPr>
            <w:tcW w:w="952"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统计</w:t>
            </w:r>
          </w:p>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时间</w:t>
            </w:r>
          </w:p>
        </w:tc>
        <w:tc>
          <w:tcPr>
            <w:tcW w:w="1652" w:type="dxa"/>
            <w:gridSpan w:val="3"/>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执法检查情况</w:t>
            </w:r>
          </w:p>
        </w:tc>
        <w:tc>
          <w:tcPr>
            <w:tcW w:w="6399" w:type="dxa"/>
            <w:gridSpan w:val="9"/>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查处违法行为（起）</w:t>
            </w:r>
          </w:p>
        </w:tc>
        <w:tc>
          <w:tcPr>
            <w:tcW w:w="1655" w:type="dxa"/>
            <w:gridSpan w:val="3"/>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案件来源</w:t>
            </w:r>
          </w:p>
        </w:tc>
        <w:tc>
          <w:tcPr>
            <w:tcW w:w="567" w:type="dxa"/>
            <w:gridSpan w:val="6"/>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案件办理情况（起）</w:t>
            </w:r>
          </w:p>
        </w:tc>
      </w:tr>
      <w:tr w:rsidR="008D5DCF">
        <w:trPr>
          <w:trHeight w:val="780"/>
          <w:jc w:val="center"/>
        </w:trPr>
        <w:tc>
          <w:tcPr>
            <w:tcW w:w="952" w:type="dxa"/>
            <w:vMerge/>
            <w:vAlign w:val="center"/>
          </w:tcPr>
          <w:p w:rsidR="008D5DCF" w:rsidRDefault="008D5DCF">
            <w:pPr>
              <w:jc w:val="center"/>
              <w:rPr>
                <w:rFonts w:ascii="楷体_GB2312" w:eastAsia="楷体_GB2312" w:hAnsi="宋体"/>
                <w:kern w:val="0"/>
                <w:sz w:val="24"/>
              </w:rPr>
            </w:pPr>
          </w:p>
        </w:tc>
        <w:tc>
          <w:tcPr>
            <w:tcW w:w="550"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检查次数</w:t>
            </w:r>
          </w:p>
        </w:tc>
        <w:tc>
          <w:tcPr>
            <w:tcW w:w="550"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出动人员</w:t>
            </w:r>
          </w:p>
        </w:tc>
        <w:tc>
          <w:tcPr>
            <w:tcW w:w="552"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检查商户</w:t>
            </w:r>
          </w:p>
        </w:tc>
        <w:tc>
          <w:tcPr>
            <w:tcW w:w="755"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应备案未备案</w:t>
            </w:r>
          </w:p>
        </w:tc>
        <w:tc>
          <w:tcPr>
            <w:tcW w:w="756"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净化设施应装未装</w:t>
            </w:r>
          </w:p>
        </w:tc>
        <w:tc>
          <w:tcPr>
            <w:tcW w:w="756"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净化设施已装直排</w:t>
            </w:r>
          </w:p>
        </w:tc>
        <w:tc>
          <w:tcPr>
            <w:tcW w:w="756"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露天烧烤</w:t>
            </w:r>
          </w:p>
        </w:tc>
        <w:tc>
          <w:tcPr>
            <w:tcW w:w="756" w:type="dxa"/>
            <w:vMerge w:val="restart"/>
            <w:vAlign w:val="center"/>
          </w:tcPr>
          <w:p w:rsidR="008D5DCF" w:rsidRDefault="00F34A29">
            <w:pPr>
              <w:jc w:val="center"/>
              <w:rPr>
                <w:rFonts w:ascii="楷体_GB2312" w:eastAsia="楷体_GB2312" w:hAnsi="宋体"/>
                <w:kern w:val="0"/>
                <w:sz w:val="24"/>
              </w:rPr>
            </w:pPr>
            <w:proofErr w:type="gramStart"/>
            <w:r>
              <w:rPr>
                <w:rFonts w:ascii="楷体_GB2312" w:eastAsia="楷体_GB2312" w:hAnsi="宋体" w:hint="eastAsia"/>
                <w:kern w:val="0"/>
                <w:sz w:val="24"/>
              </w:rPr>
              <w:t>封改烟道</w:t>
            </w:r>
            <w:proofErr w:type="gramEnd"/>
          </w:p>
        </w:tc>
        <w:tc>
          <w:tcPr>
            <w:tcW w:w="756"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禁建餐饮项目</w:t>
            </w:r>
          </w:p>
        </w:tc>
        <w:tc>
          <w:tcPr>
            <w:tcW w:w="756"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禁建 未告知</w:t>
            </w:r>
          </w:p>
        </w:tc>
        <w:tc>
          <w:tcPr>
            <w:tcW w:w="551"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其他</w:t>
            </w:r>
          </w:p>
        </w:tc>
        <w:tc>
          <w:tcPr>
            <w:tcW w:w="557"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小计</w:t>
            </w:r>
          </w:p>
        </w:tc>
        <w:tc>
          <w:tcPr>
            <w:tcW w:w="551"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检查</w:t>
            </w:r>
          </w:p>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发现</w:t>
            </w:r>
          </w:p>
        </w:tc>
        <w:tc>
          <w:tcPr>
            <w:tcW w:w="551"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投诉举报</w:t>
            </w:r>
          </w:p>
        </w:tc>
        <w:tc>
          <w:tcPr>
            <w:tcW w:w="553" w:type="dxa"/>
            <w:vMerge w:val="restart"/>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部门移交</w:t>
            </w:r>
          </w:p>
        </w:tc>
        <w:tc>
          <w:tcPr>
            <w:tcW w:w="567" w:type="dxa"/>
            <w:gridSpan w:val="3"/>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餐饮业油烟污染案件</w:t>
            </w:r>
          </w:p>
        </w:tc>
        <w:tc>
          <w:tcPr>
            <w:tcW w:w="567" w:type="dxa"/>
            <w:gridSpan w:val="3"/>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其他案件</w:t>
            </w:r>
          </w:p>
        </w:tc>
      </w:tr>
      <w:tr w:rsidR="008D5DCF">
        <w:trPr>
          <w:trHeight w:val="782"/>
          <w:jc w:val="center"/>
        </w:trPr>
        <w:tc>
          <w:tcPr>
            <w:tcW w:w="952" w:type="dxa"/>
            <w:vMerge/>
            <w:vAlign w:val="center"/>
          </w:tcPr>
          <w:p w:rsidR="008D5DCF" w:rsidRDefault="008D5DCF">
            <w:pPr>
              <w:jc w:val="center"/>
            </w:pPr>
          </w:p>
        </w:tc>
        <w:tc>
          <w:tcPr>
            <w:tcW w:w="550" w:type="dxa"/>
            <w:vMerge/>
            <w:vAlign w:val="center"/>
          </w:tcPr>
          <w:p w:rsidR="008D5DCF" w:rsidRDefault="008D5DCF">
            <w:pPr>
              <w:jc w:val="center"/>
            </w:pPr>
          </w:p>
        </w:tc>
        <w:tc>
          <w:tcPr>
            <w:tcW w:w="550" w:type="dxa"/>
            <w:vMerge/>
            <w:vAlign w:val="center"/>
          </w:tcPr>
          <w:p w:rsidR="008D5DCF" w:rsidRDefault="008D5DCF">
            <w:pPr>
              <w:jc w:val="center"/>
            </w:pPr>
          </w:p>
        </w:tc>
        <w:tc>
          <w:tcPr>
            <w:tcW w:w="552" w:type="dxa"/>
            <w:vMerge/>
            <w:vAlign w:val="center"/>
          </w:tcPr>
          <w:p w:rsidR="008D5DCF" w:rsidRDefault="008D5DCF">
            <w:pPr>
              <w:jc w:val="center"/>
            </w:pPr>
          </w:p>
        </w:tc>
        <w:tc>
          <w:tcPr>
            <w:tcW w:w="755" w:type="dxa"/>
            <w:vMerge/>
            <w:vAlign w:val="center"/>
          </w:tcPr>
          <w:p w:rsidR="008D5DCF" w:rsidRDefault="008D5DCF">
            <w:pPr>
              <w:jc w:val="center"/>
            </w:pPr>
          </w:p>
        </w:tc>
        <w:tc>
          <w:tcPr>
            <w:tcW w:w="756" w:type="dxa"/>
            <w:vMerge/>
            <w:vAlign w:val="center"/>
          </w:tcPr>
          <w:p w:rsidR="008D5DCF" w:rsidRDefault="008D5DCF">
            <w:pPr>
              <w:jc w:val="center"/>
            </w:pPr>
          </w:p>
        </w:tc>
        <w:tc>
          <w:tcPr>
            <w:tcW w:w="756" w:type="dxa"/>
            <w:vMerge/>
            <w:vAlign w:val="center"/>
          </w:tcPr>
          <w:p w:rsidR="008D5DCF" w:rsidRDefault="008D5DCF">
            <w:pPr>
              <w:jc w:val="center"/>
            </w:pPr>
          </w:p>
        </w:tc>
        <w:tc>
          <w:tcPr>
            <w:tcW w:w="756" w:type="dxa"/>
            <w:vMerge/>
            <w:vAlign w:val="center"/>
          </w:tcPr>
          <w:p w:rsidR="008D5DCF" w:rsidRDefault="008D5DCF">
            <w:pPr>
              <w:jc w:val="center"/>
            </w:pPr>
          </w:p>
        </w:tc>
        <w:tc>
          <w:tcPr>
            <w:tcW w:w="756" w:type="dxa"/>
            <w:vMerge/>
            <w:vAlign w:val="center"/>
          </w:tcPr>
          <w:p w:rsidR="008D5DCF" w:rsidRDefault="008D5DCF">
            <w:pPr>
              <w:jc w:val="center"/>
            </w:pPr>
          </w:p>
        </w:tc>
        <w:tc>
          <w:tcPr>
            <w:tcW w:w="756" w:type="dxa"/>
            <w:vMerge/>
            <w:vAlign w:val="center"/>
          </w:tcPr>
          <w:p w:rsidR="008D5DCF" w:rsidRDefault="008D5DCF">
            <w:pPr>
              <w:jc w:val="center"/>
            </w:pPr>
          </w:p>
        </w:tc>
        <w:tc>
          <w:tcPr>
            <w:tcW w:w="756" w:type="dxa"/>
            <w:vMerge/>
            <w:vAlign w:val="center"/>
          </w:tcPr>
          <w:p w:rsidR="008D5DCF" w:rsidRDefault="008D5DCF">
            <w:pPr>
              <w:jc w:val="center"/>
            </w:pPr>
          </w:p>
        </w:tc>
        <w:tc>
          <w:tcPr>
            <w:tcW w:w="551" w:type="dxa"/>
            <w:vMerge/>
            <w:vAlign w:val="center"/>
          </w:tcPr>
          <w:p w:rsidR="008D5DCF" w:rsidRDefault="008D5DCF">
            <w:pPr>
              <w:jc w:val="center"/>
            </w:pPr>
          </w:p>
        </w:tc>
        <w:tc>
          <w:tcPr>
            <w:tcW w:w="557" w:type="dxa"/>
            <w:vMerge/>
            <w:vAlign w:val="center"/>
          </w:tcPr>
          <w:p w:rsidR="008D5DCF" w:rsidRDefault="008D5DCF">
            <w:pPr>
              <w:jc w:val="center"/>
            </w:pPr>
          </w:p>
        </w:tc>
        <w:tc>
          <w:tcPr>
            <w:tcW w:w="551" w:type="dxa"/>
            <w:vMerge/>
            <w:vAlign w:val="center"/>
          </w:tcPr>
          <w:p w:rsidR="008D5DCF" w:rsidRDefault="008D5DCF">
            <w:pPr>
              <w:jc w:val="center"/>
            </w:pPr>
          </w:p>
        </w:tc>
        <w:tc>
          <w:tcPr>
            <w:tcW w:w="551" w:type="dxa"/>
            <w:vMerge/>
            <w:vAlign w:val="center"/>
          </w:tcPr>
          <w:p w:rsidR="008D5DCF" w:rsidRDefault="008D5DCF">
            <w:pPr>
              <w:jc w:val="center"/>
            </w:pPr>
          </w:p>
        </w:tc>
        <w:tc>
          <w:tcPr>
            <w:tcW w:w="553" w:type="dxa"/>
            <w:vMerge/>
            <w:vAlign w:val="center"/>
          </w:tcPr>
          <w:p w:rsidR="008D5DCF" w:rsidRDefault="008D5DCF">
            <w:pPr>
              <w:jc w:val="center"/>
              <w:rPr>
                <w:rFonts w:ascii="楷体_GB2312" w:eastAsia="楷体_GB2312" w:hAnsi="宋体"/>
                <w:kern w:val="0"/>
                <w:sz w:val="24"/>
              </w:rPr>
            </w:pPr>
          </w:p>
        </w:tc>
        <w:tc>
          <w:tcPr>
            <w:tcW w:w="567"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立案</w:t>
            </w:r>
          </w:p>
        </w:tc>
        <w:tc>
          <w:tcPr>
            <w:tcW w:w="567"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结案</w:t>
            </w:r>
          </w:p>
        </w:tc>
        <w:tc>
          <w:tcPr>
            <w:tcW w:w="869"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罚款金额（元）</w:t>
            </w:r>
          </w:p>
        </w:tc>
        <w:tc>
          <w:tcPr>
            <w:tcW w:w="567"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立案</w:t>
            </w:r>
          </w:p>
        </w:tc>
        <w:tc>
          <w:tcPr>
            <w:tcW w:w="567"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结案</w:t>
            </w:r>
          </w:p>
        </w:tc>
        <w:tc>
          <w:tcPr>
            <w:tcW w:w="929"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罚款金额（元）</w:t>
            </w:r>
          </w:p>
        </w:tc>
      </w:tr>
      <w:tr w:rsidR="008D5DCF">
        <w:trPr>
          <w:trHeight w:val="782"/>
          <w:jc w:val="center"/>
        </w:trPr>
        <w:tc>
          <w:tcPr>
            <w:tcW w:w="952" w:type="dxa"/>
            <w:vAlign w:val="center"/>
          </w:tcPr>
          <w:p w:rsidR="008D5DCF" w:rsidRDefault="008D5DCF">
            <w:pPr>
              <w:jc w:val="center"/>
              <w:rPr>
                <w:rFonts w:ascii="楷体_GB2312" w:eastAsia="楷体_GB2312" w:hAnsi="宋体"/>
                <w:kern w:val="0"/>
                <w:sz w:val="24"/>
              </w:rPr>
            </w:pPr>
          </w:p>
        </w:tc>
        <w:tc>
          <w:tcPr>
            <w:tcW w:w="550" w:type="dxa"/>
            <w:vAlign w:val="center"/>
          </w:tcPr>
          <w:p w:rsidR="008D5DCF" w:rsidRDefault="008D5DCF">
            <w:pPr>
              <w:jc w:val="center"/>
              <w:rPr>
                <w:rFonts w:ascii="楷体_GB2312" w:eastAsia="楷体_GB2312" w:hAnsi="宋体"/>
                <w:kern w:val="0"/>
                <w:sz w:val="24"/>
              </w:rPr>
            </w:pPr>
          </w:p>
        </w:tc>
        <w:tc>
          <w:tcPr>
            <w:tcW w:w="550" w:type="dxa"/>
            <w:vAlign w:val="center"/>
          </w:tcPr>
          <w:p w:rsidR="008D5DCF" w:rsidRDefault="008D5DCF">
            <w:pPr>
              <w:jc w:val="center"/>
              <w:rPr>
                <w:rFonts w:ascii="楷体_GB2312" w:eastAsia="楷体_GB2312" w:hAnsi="宋体"/>
                <w:kern w:val="0"/>
                <w:sz w:val="24"/>
              </w:rPr>
            </w:pPr>
          </w:p>
        </w:tc>
        <w:tc>
          <w:tcPr>
            <w:tcW w:w="552" w:type="dxa"/>
            <w:vAlign w:val="center"/>
          </w:tcPr>
          <w:p w:rsidR="008D5DCF" w:rsidRDefault="008D5DCF">
            <w:pPr>
              <w:jc w:val="center"/>
              <w:rPr>
                <w:rFonts w:ascii="楷体_GB2312" w:eastAsia="楷体_GB2312" w:hAnsi="宋体"/>
                <w:kern w:val="0"/>
                <w:sz w:val="24"/>
              </w:rPr>
            </w:pPr>
          </w:p>
        </w:tc>
        <w:tc>
          <w:tcPr>
            <w:tcW w:w="755"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756" w:type="dxa"/>
            <w:vAlign w:val="center"/>
          </w:tcPr>
          <w:p w:rsidR="008D5DCF" w:rsidRDefault="008D5DCF">
            <w:pPr>
              <w:jc w:val="center"/>
              <w:rPr>
                <w:rFonts w:ascii="楷体_GB2312" w:eastAsia="楷体_GB2312" w:hAnsi="宋体"/>
                <w:kern w:val="0"/>
                <w:sz w:val="24"/>
              </w:rPr>
            </w:pPr>
          </w:p>
        </w:tc>
        <w:tc>
          <w:tcPr>
            <w:tcW w:w="551" w:type="dxa"/>
            <w:vAlign w:val="center"/>
          </w:tcPr>
          <w:p w:rsidR="008D5DCF" w:rsidRDefault="008D5DCF">
            <w:pPr>
              <w:jc w:val="center"/>
              <w:rPr>
                <w:rFonts w:ascii="楷体_GB2312" w:eastAsia="楷体_GB2312" w:hAnsi="宋体"/>
                <w:kern w:val="0"/>
                <w:sz w:val="24"/>
              </w:rPr>
            </w:pPr>
          </w:p>
        </w:tc>
        <w:tc>
          <w:tcPr>
            <w:tcW w:w="557" w:type="dxa"/>
            <w:vAlign w:val="center"/>
          </w:tcPr>
          <w:p w:rsidR="008D5DCF" w:rsidRDefault="008D5DCF">
            <w:pPr>
              <w:jc w:val="center"/>
              <w:rPr>
                <w:rFonts w:ascii="楷体_GB2312" w:eastAsia="楷体_GB2312" w:hAnsi="宋体"/>
                <w:kern w:val="0"/>
                <w:sz w:val="24"/>
              </w:rPr>
            </w:pPr>
          </w:p>
        </w:tc>
        <w:tc>
          <w:tcPr>
            <w:tcW w:w="551" w:type="dxa"/>
            <w:vAlign w:val="center"/>
          </w:tcPr>
          <w:p w:rsidR="008D5DCF" w:rsidRDefault="008D5DCF">
            <w:pPr>
              <w:jc w:val="center"/>
              <w:rPr>
                <w:rFonts w:ascii="楷体_GB2312" w:eastAsia="楷体_GB2312" w:hAnsi="宋体"/>
                <w:kern w:val="0"/>
                <w:sz w:val="24"/>
              </w:rPr>
            </w:pPr>
          </w:p>
        </w:tc>
        <w:tc>
          <w:tcPr>
            <w:tcW w:w="551" w:type="dxa"/>
            <w:vAlign w:val="center"/>
          </w:tcPr>
          <w:p w:rsidR="008D5DCF" w:rsidRDefault="008D5DCF">
            <w:pPr>
              <w:jc w:val="center"/>
              <w:rPr>
                <w:rFonts w:ascii="楷体_GB2312" w:eastAsia="楷体_GB2312" w:hAnsi="宋体"/>
                <w:kern w:val="0"/>
                <w:sz w:val="24"/>
              </w:rPr>
            </w:pPr>
          </w:p>
        </w:tc>
        <w:tc>
          <w:tcPr>
            <w:tcW w:w="553" w:type="dxa"/>
            <w:vAlign w:val="center"/>
          </w:tcPr>
          <w:p w:rsidR="008D5DCF" w:rsidRDefault="008D5DCF">
            <w:pPr>
              <w:jc w:val="center"/>
              <w:rPr>
                <w:rFonts w:ascii="楷体_GB2312" w:eastAsia="楷体_GB2312" w:hAnsi="宋体"/>
                <w:kern w:val="0"/>
                <w:sz w:val="24"/>
              </w:rPr>
            </w:pPr>
          </w:p>
        </w:tc>
        <w:tc>
          <w:tcPr>
            <w:tcW w:w="567" w:type="dxa"/>
            <w:vAlign w:val="center"/>
          </w:tcPr>
          <w:p w:rsidR="008D5DCF" w:rsidRDefault="008D5DCF">
            <w:pPr>
              <w:jc w:val="center"/>
              <w:rPr>
                <w:rFonts w:ascii="楷体_GB2312" w:eastAsia="楷体_GB2312" w:hAnsi="宋体"/>
                <w:kern w:val="0"/>
                <w:sz w:val="24"/>
              </w:rPr>
            </w:pPr>
          </w:p>
        </w:tc>
        <w:tc>
          <w:tcPr>
            <w:tcW w:w="567" w:type="dxa"/>
            <w:vAlign w:val="center"/>
          </w:tcPr>
          <w:p w:rsidR="008D5DCF" w:rsidRDefault="008D5DCF">
            <w:pPr>
              <w:jc w:val="center"/>
              <w:rPr>
                <w:rFonts w:ascii="楷体_GB2312" w:eastAsia="楷体_GB2312" w:hAnsi="宋体"/>
                <w:kern w:val="0"/>
                <w:sz w:val="24"/>
              </w:rPr>
            </w:pPr>
          </w:p>
        </w:tc>
        <w:tc>
          <w:tcPr>
            <w:tcW w:w="869" w:type="dxa"/>
            <w:vAlign w:val="center"/>
          </w:tcPr>
          <w:p w:rsidR="008D5DCF" w:rsidRDefault="008D5DCF">
            <w:pPr>
              <w:jc w:val="center"/>
              <w:rPr>
                <w:rFonts w:ascii="楷体_GB2312" w:eastAsia="楷体_GB2312" w:hAnsi="宋体"/>
                <w:kern w:val="0"/>
                <w:sz w:val="24"/>
              </w:rPr>
            </w:pPr>
          </w:p>
        </w:tc>
        <w:tc>
          <w:tcPr>
            <w:tcW w:w="567" w:type="dxa"/>
            <w:vAlign w:val="center"/>
          </w:tcPr>
          <w:p w:rsidR="008D5DCF" w:rsidRDefault="008D5DCF">
            <w:pPr>
              <w:jc w:val="center"/>
              <w:rPr>
                <w:rFonts w:ascii="楷体_GB2312" w:eastAsia="楷体_GB2312" w:hAnsi="宋体"/>
                <w:kern w:val="0"/>
                <w:sz w:val="24"/>
              </w:rPr>
            </w:pPr>
          </w:p>
        </w:tc>
        <w:tc>
          <w:tcPr>
            <w:tcW w:w="567" w:type="dxa"/>
            <w:vAlign w:val="center"/>
          </w:tcPr>
          <w:p w:rsidR="008D5DCF" w:rsidRDefault="008D5DCF">
            <w:pPr>
              <w:jc w:val="center"/>
              <w:rPr>
                <w:rFonts w:ascii="楷体_GB2312" w:eastAsia="楷体_GB2312" w:hAnsi="宋体"/>
                <w:kern w:val="0"/>
                <w:sz w:val="24"/>
              </w:rPr>
            </w:pPr>
          </w:p>
        </w:tc>
        <w:tc>
          <w:tcPr>
            <w:tcW w:w="929" w:type="dxa"/>
            <w:vAlign w:val="center"/>
          </w:tcPr>
          <w:p w:rsidR="008D5DCF" w:rsidRDefault="008D5DCF">
            <w:pPr>
              <w:jc w:val="center"/>
              <w:rPr>
                <w:rFonts w:ascii="楷体_GB2312" w:eastAsia="楷体_GB2312" w:hAnsi="宋体"/>
                <w:kern w:val="0"/>
                <w:sz w:val="24"/>
              </w:rPr>
            </w:pPr>
          </w:p>
        </w:tc>
      </w:tr>
      <w:tr w:rsidR="008D5DCF">
        <w:trPr>
          <w:trHeight w:val="1730"/>
          <w:jc w:val="center"/>
        </w:trPr>
        <w:tc>
          <w:tcPr>
            <w:tcW w:w="952"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工作开展情况及</w:t>
            </w:r>
          </w:p>
          <w:p w:rsidR="008D5DCF" w:rsidRDefault="00F34A29">
            <w:pPr>
              <w:jc w:val="center"/>
              <w:rPr>
                <w:rFonts w:ascii="楷体_GB2312" w:eastAsia="楷体_GB2312" w:hAnsi="宋体"/>
                <w:kern w:val="0"/>
                <w:sz w:val="24"/>
              </w:rPr>
            </w:pPr>
            <w:r>
              <w:rPr>
                <w:rFonts w:ascii="楷体_GB2312" w:eastAsia="楷体_GB2312" w:hAnsi="宋体" w:hint="eastAsia"/>
                <w:kern w:val="0"/>
                <w:sz w:val="24"/>
              </w:rPr>
              <w:t>亮点</w:t>
            </w:r>
          </w:p>
        </w:tc>
        <w:tc>
          <w:tcPr>
            <w:tcW w:w="567" w:type="dxa"/>
            <w:gridSpan w:val="21"/>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可附页</w:t>
            </w:r>
          </w:p>
        </w:tc>
      </w:tr>
      <w:tr w:rsidR="008D5DCF">
        <w:trPr>
          <w:trHeight w:val="1787"/>
          <w:jc w:val="center"/>
        </w:trPr>
        <w:tc>
          <w:tcPr>
            <w:tcW w:w="952" w:type="dxa"/>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存在问题及</w:t>
            </w:r>
          </w:p>
          <w:p w:rsidR="008D5DCF" w:rsidRDefault="00F34A29">
            <w:pPr>
              <w:jc w:val="center"/>
              <w:rPr>
                <w:rFonts w:ascii="楷体_GB2312" w:eastAsia="楷体_GB2312" w:hAnsi="宋体"/>
                <w:kern w:val="0"/>
                <w:sz w:val="24"/>
              </w:rPr>
            </w:pPr>
            <w:r>
              <w:rPr>
                <w:rFonts w:ascii="楷体_GB2312" w:eastAsia="楷体_GB2312" w:hAnsi="宋体" w:hint="eastAsia"/>
                <w:kern w:val="0"/>
                <w:sz w:val="24"/>
              </w:rPr>
              <w:t>难点</w:t>
            </w:r>
          </w:p>
        </w:tc>
        <w:tc>
          <w:tcPr>
            <w:tcW w:w="567" w:type="dxa"/>
            <w:gridSpan w:val="21"/>
            <w:vAlign w:val="center"/>
          </w:tcPr>
          <w:p w:rsidR="008D5DCF" w:rsidRDefault="00F34A29">
            <w:pPr>
              <w:jc w:val="center"/>
              <w:rPr>
                <w:rFonts w:ascii="楷体_GB2312" w:eastAsia="楷体_GB2312" w:hAnsi="宋体"/>
                <w:kern w:val="0"/>
                <w:sz w:val="24"/>
              </w:rPr>
            </w:pPr>
            <w:r>
              <w:rPr>
                <w:rFonts w:ascii="楷体_GB2312" w:eastAsia="楷体_GB2312" w:hAnsi="宋体" w:hint="eastAsia"/>
                <w:kern w:val="0"/>
                <w:sz w:val="24"/>
              </w:rPr>
              <w:t>可附页</w:t>
            </w:r>
          </w:p>
        </w:tc>
      </w:tr>
    </w:tbl>
    <w:p w:rsidR="008D5DCF" w:rsidRDefault="00F34A29">
      <w:pPr>
        <w:rPr>
          <w:rFonts w:ascii="宋体" w:hAnsi="宋体" w:cs="宋体"/>
          <w:b/>
          <w:bCs/>
          <w:sz w:val="44"/>
          <w:szCs w:val="44"/>
        </w:rPr>
      </w:pPr>
      <w:r>
        <w:rPr>
          <w:rFonts w:ascii="楷体_GB2312" w:eastAsia="楷体_GB2312" w:hAnsi="宋体" w:hint="eastAsia"/>
          <w:sz w:val="24"/>
        </w:rPr>
        <w:t>填表单位：</w:t>
      </w:r>
      <w:r>
        <w:rPr>
          <w:rFonts w:ascii="楷体_GB2312" w:eastAsia="楷体_GB2312" w:hAnsi="宋体"/>
          <w:sz w:val="24"/>
        </w:rPr>
        <w:t xml:space="preserve">                                             </w:t>
      </w:r>
      <w:r>
        <w:rPr>
          <w:rFonts w:ascii="楷体_GB2312" w:eastAsia="楷体_GB2312" w:hAnsi="宋体" w:hint="eastAsia"/>
          <w:sz w:val="24"/>
        </w:rPr>
        <w:t>联系人：</w:t>
      </w:r>
      <w:r>
        <w:rPr>
          <w:rFonts w:ascii="楷体_GB2312" w:eastAsia="楷体_GB2312" w:hAnsi="宋体"/>
          <w:sz w:val="24"/>
        </w:rPr>
        <w:t xml:space="preserve">             </w:t>
      </w:r>
      <w:r>
        <w:rPr>
          <w:rFonts w:ascii="楷体_GB2312" w:eastAsia="楷体_GB2312" w:hAnsi="宋体" w:hint="eastAsia"/>
          <w:sz w:val="24"/>
        </w:rPr>
        <w:t>联系电话：</w:t>
      </w:r>
      <w:r>
        <w:rPr>
          <w:rFonts w:ascii="楷体_GB2312" w:eastAsia="楷体_GB2312" w:hAnsi="宋体"/>
          <w:sz w:val="24"/>
        </w:rPr>
        <w:t xml:space="preserve">           </w:t>
      </w:r>
      <w:r>
        <w:rPr>
          <w:rFonts w:ascii="楷体_GB2312" w:eastAsia="楷体_GB2312" w:hAnsi="宋体" w:hint="eastAsia"/>
          <w:sz w:val="24"/>
        </w:rPr>
        <w:t>填表时间：</w:t>
      </w:r>
      <w:r>
        <w:rPr>
          <w:rFonts w:ascii="楷体_GB2312" w:eastAsia="楷体_GB2312" w:hAnsi="宋体"/>
          <w:sz w:val="24"/>
        </w:rPr>
        <w:t xml:space="preserve"> </w:t>
      </w:r>
    </w:p>
    <w:sectPr w:rsidR="008D5DCF">
      <w:footerReference w:type="default" r:id="rId9"/>
      <w:pgSz w:w="16838" w:h="11906" w:orient="landscape"/>
      <w:pgMar w:top="1417" w:right="1531" w:bottom="1417"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8D" w:rsidRDefault="000F608D">
      <w:r>
        <w:separator/>
      </w:r>
    </w:p>
  </w:endnote>
  <w:endnote w:type="continuationSeparator" w:id="0">
    <w:p w:rsidR="000F608D" w:rsidRDefault="000F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CF" w:rsidRDefault="00F34A2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5DCF" w:rsidRDefault="00F34A29">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73B74">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D5DCF" w:rsidRDefault="00F34A29">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73B74">
                      <w:rPr>
                        <w:noProof/>
                      </w:rPr>
                      <w:t>5</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CF" w:rsidRDefault="00F34A29">
    <w:pPr>
      <w:pStyle w:val="a3"/>
      <w:rPr>
        <w:rStyle w:val="a7"/>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5DCF" w:rsidRDefault="00F34A29">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73B7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D5DCF" w:rsidRDefault="00F34A29">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73B74">
                      <w:rPr>
                        <w:noProof/>
                      </w:rPr>
                      <w:t>6</w:t>
                    </w:r>
                    <w:r>
                      <w:rPr>
                        <w:rFonts w:hint="eastAsia"/>
                      </w:rPr>
                      <w:fldChar w:fldCharType="end"/>
                    </w:r>
                  </w:p>
                </w:txbxContent>
              </v:textbox>
              <w10:wrap anchorx="margin"/>
            </v:shape>
          </w:pict>
        </mc:Fallback>
      </mc:AlternateContent>
    </w:r>
  </w:p>
  <w:p w:rsidR="008D5DCF" w:rsidRDefault="008D5DC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8D" w:rsidRDefault="000F608D">
      <w:r>
        <w:separator/>
      </w:r>
    </w:p>
  </w:footnote>
  <w:footnote w:type="continuationSeparator" w:id="0">
    <w:p w:rsidR="000F608D" w:rsidRDefault="000F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128FF"/>
    <w:rsid w:val="00016512"/>
    <w:rsid w:val="00047D12"/>
    <w:rsid w:val="000E52CC"/>
    <w:rsid w:val="000F608D"/>
    <w:rsid w:val="00126B8C"/>
    <w:rsid w:val="001330D6"/>
    <w:rsid w:val="0014742A"/>
    <w:rsid w:val="00192F71"/>
    <w:rsid w:val="001E5805"/>
    <w:rsid w:val="0022152D"/>
    <w:rsid w:val="002D3B4B"/>
    <w:rsid w:val="003340CF"/>
    <w:rsid w:val="00360A50"/>
    <w:rsid w:val="00361AB4"/>
    <w:rsid w:val="00363E0A"/>
    <w:rsid w:val="00433EC5"/>
    <w:rsid w:val="00496E3A"/>
    <w:rsid w:val="004E70FB"/>
    <w:rsid w:val="00524F69"/>
    <w:rsid w:val="0054636F"/>
    <w:rsid w:val="00592A9D"/>
    <w:rsid w:val="005A27D9"/>
    <w:rsid w:val="005E62F9"/>
    <w:rsid w:val="006107C8"/>
    <w:rsid w:val="006A670A"/>
    <w:rsid w:val="006B6AA7"/>
    <w:rsid w:val="006D0393"/>
    <w:rsid w:val="00722C5C"/>
    <w:rsid w:val="00761F04"/>
    <w:rsid w:val="0076354E"/>
    <w:rsid w:val="007B1C7E"/>
    <w:rsid w:val="007C67A6"/>
    <w:rsid w:val="00806DB0"/>
    <w:rsid w:val="008A5926"/>
    <w:rsid w:val="008B585D"/>
    <w:rsid w:val="008D5DCF"/>
    <w:rsid w:val="0099591D"/>
    <w:rsid w:val="009D69BD"/>
    <w:rsid w:val="00A20F25"/>
    <w:rsid w:val="00A56A93"/>
    <w:rsid w:val="00A73B74"/>
    <w:rsid w:val="00AD39C6"/>
    <w:rsid w:val="00B050A8"/>
    <w:rsid w:val="00B1534E"/>
    <w:rsid w:val="00BE02CF"/>
    <w:rsid w:val="00BE268A"/>
    <w:rsid w:val="00C0349A"/>
    <w:rsid w:val="00C07FE4"/>
    <w:rsid w:val="00C74D0B"/>
    <w:rsid w:val="00C76125"/>
    <w:rsid w:val="00D061AF"/>
    <w:rsid w:val="00DB3427"/>
    <w:rsid w:val="00E9309E"/>
    <w:rsid w:val="00EC0F0C"/>
    <w:rsid w:val="00EF21B0"/>
    <w:rsid w:val="00F14A9E"/>
    <w:rsid w:val="00F34A29"/>
    <w:rsid w:val="00F77BDF"/>
    <w:rsid w:val="00F86D0B"/>
    <w:rsid w:val="00F94D9B"/>
    <w:rsid w:val="00FE33EF"/>
    <w:rsid w:val="03FA4CC1"/>
    <w:rsid w:val="041615FF"/>
    <w:rsid w:val="058B3C44"/>
    <w:rsid w:val="05E10323"/>
    <w:rsid w:val="07FB4A0F"/>
    <w:rsid w:val="080C53A8"/>
    <w:rsid w:val="088B6AB8"/>
    <w:rsid w:val="08F00B43"/>
    <w:rsid w:val="0A2E185F"/>
    <w:rsid w:val="0A74724E"/>
    <w:rsid w:val="0B871211"/>
    <w:rsid w:val="0C270283"/>
    <w:rsid w:val="0C7B70A1"/>
    <w:rsid w:val="0D000D28"/>
    <w:rsid w:val="0DFA37BB"/>
    <w:rsid w:val="0E086776"/>
    <w:rsid w:val="0F264673"/>
    <w:rsid w:val="11B6676E"/>
    <w:rsid w:val="120969BB"/>
    <w:rsid w:val="124A0BAC"/>
    <w:rsid w:val="12703C5D"/>
    <w:rsid w:val="129739EE"/>
    <w:rsid w:val="14203287"/>
    <w:rsid w:val="173C6221"/>
    <w:rsid w:val="178C5BF2"/>
    <w:rsid w:val="188E0E5B"/>
    <w:rsid w:val="194D7D71"/>
    <w:rsid w:val="197A7883"/>
    <w:rsid w:val="1B8311DD"/>
    <w:rsid w:val="1BC03C26"/>
    <w:rsid w:val="1CE70A57"/>
    <w:rsid w:val="1D4F134E"/>
    <w:rsid w:val="1DA52883"/>
    <w:rsid w:val="1DC22018"/>
    <w:rsid w:val="1DFC1D95"/>
    <w:rsid w:val="1ED87A5E"/>
    <w:rsid w:val="21050DE2"/>
    <w:rsid w:val="243E1F30"/>
    <w:rsid w:val="258D181F"/>
    <w:rsid w:val="25B6459C"/>
    <w:rsid w:val="26051F78"/>
    <w:rsid w:val="27D379B8"/>
    <w:rsid w:val="289B2915"/>
    <w:rsid w:val="28D9376A"/>
    <w:rsid w:val="299234EC"/>
    <w:rsid w:val="29C53215"/>
    <w:rsid w:val="2A894157"/>
    <w:rsid w:val="2AFD4940"/>
    <w:rsid w:val="2C465391"/>
    <w:rsid w:val="2D6B1D9E"/>
    <w:rsid w:val="2E2736D0"/>
    <w:rsid w:val="2E304CE2"/>
    <w:rsid w:val="2E3E2C7D"/>
    <w:rsid w:val="2EA6288B"/>
    <w:rsid w:val="30293CAF"/>
    <w:rsid w:val="30AB0586"/>
    <w:rsid w:val="31533BFF"/>
    <w:rsid w:val="322458CC"/>
    <w:rsid w:val="32741A89"/>
    <w:rsid w:val="329D449A"/>
    <w:rsid w:val="32B81977"/>
    <w:rsid w:val="33FC746D"/>
    <w:rsid w:val="340C6074"/>
    <w:rsid w:val="34216055"/>
    <w:rsid w:val="347C5F73"/>
    <w:rsid w:val="34880DF1"/>
    <w:rsid w:val="351233F6"/>
    <w:rsid w:val="35491DD8"/>
    <w:rsid w:val="35A659A1"/>
    <w:rsid w:val="36011CE3"/>
    <w:rsid w:val="36697F81"/>
    <w:rsid w:val="37420D82"/>
    <w:rsid w:val="387B50F9"/>
    <w:rsid w:val="39536CB9"/>
    <w:rsid w:val="3B447E2A"/>
    <w:rsid w:val="3BA27E8E"/>
    <w:rsid w:val="3D04385B"/>
    <w:rsid w:val="3D082383"/>
    <w:rsid w:val="3E905465"/>
    <w:rsid w:val="3FFF4FAF"/>
    <w:rsid w:val="401840F8"/>
    <w:rsid w:val="4042107A"/>
    <w:rsid w:val="4221767C"/>
    <w:rsid w:val="42886726"/>
    <w:rsid w:val="42F42433"/>
    <w:rsid w:val="45BD6A1D"/>
    <w:rsid w:val="47AE615A"/>
    <w:rsid w:val="4815622A"/>
    <w:rsid w:val="4A410FED"/>
    <w:rsid w:val="4A450907"/>
    <w:rsid w:val="4B14369B"/>
    <w:rsid w:val="4B3503FC"/>
    <w:rsid w:val="4C3F37E6"/>
    <w:rsid w:val="4DBD6B77"/>
    <w:rsid w:val="4DEA0027"/>
    <w:rsid w:val="4EF67440"/>
    <w:rsid w:val="4F7743C5"/>
    <w:rsid w:val="5007336C"/>
    <w:rsid w:val="50162F70"/>
    <w:rsid w:val="50AA2A49"/>
    <w:rsid w:val="5113053C"/>
    <w:rsid w:val="520E39C0"/>
    <w:rsid w:val="53816B90"/>
    <w:rsid w:val="54B16226"/>
    <w:rsid w:val="5524740C"/>
    <w:rsid w:val="558F6BA8"/>
    <w:rsid w:val="55DB0CEE"/>
    <w:rsid w:val="57211F6D"/>
    <w:rsid w:val="591E6766"/>
    <w:rsid w:val="59243174"/>
    <w:rsid w:val="59283F95"/>
    <w:rsid w:val="598E2421"/>
    <w:rsid w:val="5A2247BB"/>
    <w:rsid w:val="5CB559A6"/>
    <w:rsid w:val="5DF71BB9"/>
    <w:rsid w:val="5E1726C0"/>
    <w:rsid w:val="5E2417B4"/>
    <w:rsid w:val="61667BD7"/>
    <w:rsid w:val="622174BE"/>
    <w:rsid w:val="629D3CBE"/>
    <w:rsid w:val="62C432AB"/>
    <w:rsid w:val="63015215"/>
    <w:rsid w:val="635E609C"/>
    <w:rsid w:val="641128FF"/>
    <w:rsid w:val="65366D92"/>
    <w:rsid w:val="67456C15"/>
    <w:rsid w:val="68533071"/>
    <w:rsid w:val="69A2275B"/>
    <w:rsid w:val="69EB708A"/>
    <w:rsid w:val="6A5553EE"/>
    <w:rsid w:val="6B08393C"/>
    <w:rsid w:val="6BC2378C"/>
    <w:rsid w:val="6BC71D86"/>
    <w:rsid w:val="6C493F1F"/>
    <w:rsid w:val="6CD175B0"/>
    <w:rsid w:val="6CFD4AFE"/>
    <w:rsid w:val="6D6B6D46"/>
    <w:rsid w:val="701342C4"/>
    <w:rsid w:val="70300C4D"/>
    <w:rsid w:val="70825E8B"/>
    <w:rsid w:val="70881EA0"/>
    <w:rsid w:val="70C967AB"/>
    <w:rsid w:val="71AF6192"/>
    <w:rsid w:val="7315783F"/>
    <w:rsid w:val="74964BFF"/>
    <w:rsid w:val="762867A6"/>
    <w:rsid w:val="7658164C"/>
    <w:rsid w:val="775F003E"/>
    <w:rsid w:val="785A6E0E"/>
    <w:rsid w:val="78B01040"/>
    <w:rsid w:val="78DE4BDD"/>
    <w:rsid w:val="79B14491"/>
    <w:rsid w:val="79FF4FF9"/>
    <w:rsid w:val="7A047312"/>
    <w:rsid w:val="7AA737F4"/>
    <w:rsid w:val="7AB247D8"/>
    <w:rsid w:val="7AF46BCC"/>
    <w:rsid w:val="7B1A5DB1"/>
    <w:rsid w:val="7B2D2C00"/>
    <w:rsid w:val="7C404569"/>
    <w:rsid w:val="7C894F14"/>
    <w:rsid w:val="7E9B2A99"/>
    <w:rsid w:val="7ED700EA"/>
    <w:rsid w:val="7F21122D"/>
    <w:rsid w:val="7F87468D"/>
    <w:rsid w:val="7F9C42F6"/>
    <w:rsid w:val="7FCD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uiPriority="99"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qFormat/>
    <w:rPr>
      <w:rFonts w:cs="Times New Roman"/>
    </w:rPr>
  </w:style>
  <w:style w:type="character" w:styleId="a8">
    <w:name w:val="FollowedHyperlink"/>
    <w:basedOn w:val="a0"/>
    <w:qFormat/>
    <w:rPr>
      <w:color w:val="3D3D3D"/>
      <w:u w:val="none"/>
    </w:rPr>
  </w:style>
  <w:style w:type="character" w:styleId="a9">
    <w:name w:val="Hyperlink"/>
    <w:basedOn w:val="a0"/>
    <w:qFormat/>
    <w:rPr>
      <w:color w:val="3D3D3D"/>
      <w:u w:val="none"/>
    </w:rPr>
  </w:style>
  <w:style w:type="paragraph" w:customStyle="1" w:styleId="p0">
    <w:name w:val="p0"/>
    <w:basedOn w:val="a"/>
    <w:qFormat/>
    <w:pPr>
      <w:widowControl/>
      <w:ind w:firstLine="480"/>
      <w:jc w:val="left"/>
    </w:pPr>
    <w:rPr>
      <w:rFonts w:ascii="宋体" w:hAnsi="宋体" w:cs="宋体"/>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uiPriority="99"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qFormat/>
    <w:rPr>
      <w:rFonts w:cs="Times New Roman"/>
    </w:rPr>
  </w:style>
  <w:style w:type="character" w:styleId="a8">
    <w:name w:val="FollowedHyperlink"/>
    <w:basedOn w:val="a0"/>
    <w:qFormat/>
    <w:rPr>
      <w:color w:val="3D3D3D"/>
      <w:u w:val="none"/>
    </w:rPr>
  </w:style>
  <w:style w:type="character" w:styleId="a9">
    <w:name w:val="Hyperlink"/>
    <w:basedOn w:val="a0"/>
    <w:qFormat/>
    <w:rPr>
      <w:color w:val="3D3D3D"/>
      <w:u w:val="none"/>
    </w:rPr>
  </w:style>
  <w:style w:type="paragraph" w:customStyle="1" w:styleId="p0">
    <w:name w:val="p0"/>
    <w:basedOn w:val="a"/>
    <w:qFormat/>
    <w:pPr>
      <w:widowControl/>
      <w:ind w:firstLine="480"/>
      <w:jc w:val="left"/>
    </w:pPr>
    <w:rPr>
      <w:rFonts w:ascii="宋体" w:hAnsi="宋体" w:cs="宋体"/>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414</Words>
  <Characters>2366</Characters>
  <Application>Microsoft Office Word</Application>
  <DocSecurity>0</DocSecurity>
  <Lines>19</Lines>
  <Paragraphs>5</Paragraphs>
  <ScaleCrop>false</ScaleCrop>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雾山</dc:creator>
  <cp:lastModifiedBy>AutoBVT</cp:lastModifiedBy>
  <cp:revision>79</cp:revision>
  <cp:lastPrinted>2020-06-30T03:53:00Z</cp:lastPrinted>
  <dcterms:created xsi:type="dcterms:W3CDTF">2020-06-12T03:06:00Z</dcterms:created>
  <dcterms:modified xsi:type="dcterms:W3CDTF">2020-12-24T01:11:00Z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